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ED5" w:rsidRPr="00193D7C" w:rsidRDefault="00F25ED5" w:rsidP="00F25ED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>ДУМА</w:t>
      </w:r>
    </w:p>
    <w:p w:rsidR="00F25ED5" w:rsidRPr="00193D7C" w:rsidRDefault="00F25ED5" w:rsidP="00F25ED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>ТЕРНЕЙСКОГО МУНИЦИПАЛЬНОГО РАЙОНА</w:t>
      </w:r>
    </w:p>
    <w:p w:rsidR="00F25ED5" w:rsidRPr="00193D7C" w:rsidRDefault="00F25ED5" w:rsidP="00F25ED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(пятый созыв)</w:t>
      </w:r>
    </w:p>
    <w:p w:rsidR="00F25ED5" w:rsidRPr="00193D7C" w:rsidRDefault="00F25ED5" w:rsidP="00F25ED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25ED5" w:rsidRPr="00193D7C" w:rsidRDefault="00F25ED5" w:rsidP="00F25ED5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>РЕШЕНИЕ</w:t>
      </w:r>
    </w:p>
    <w:p w:rsidR="00F25ED5" w:rsidRPr="00193D7C" w:rsidRDefault="00F25ED5" w:rsidP="00F25ED5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</w:p>
    <w:p w:rsidR="00F25ED5" w:rsidRPr="00193D7C" w:rsidRDefault="00F25ED5" w:rsidP="00F25ED5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8027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30 мая 2017 года   </w:t>
      </w: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                           </w:t>
      </w:r>
      <w:r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пгт. Терней</w:t>
      </w:r>
      <w:r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193D7C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193D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45</w:t>
      </w:r>
      <w:r w:rsidR="00516384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</w:p>
    <w:p w:rsidR="00F25ED5" w:rsidRPr="00193D7C" w:rsidRDefault="00F25ED5" w:rsidP="00F25ED5">
      <w:pPr>
        <w:rPr>
          <w:sz w:val="26"/>
          <w:szCs w:val="26"/>
        </w:rPr>
      </w:pPr>
    </w:p>
    <w:p w:rsidR="00F25ED5" w:rsidRDefault="00F25ED5" w:rsidP="00F25ED5">
      <w:pPr>
        <w:jc w:val="center"/>
        <w:rPr>
          <w:b/>
          <w:sz w:val="26"/>
          <w:szCs w:val="26"/>
        </w:rPr>
      </w:pPr>
      <w:r w:rsidRPr="00193D7C">
        <w:rPr>
          <w:b/>
          <w:sz w:val="26"/>
          <w:szCs w:val="26"/>
        </w:rPr>
        <w:t>Об отчет</w:t>
      </w:r>
      <w:r w:rsidR="00CF559B">
        <w:rPr>
          <w:b/>
          <w:sz w:val="26"/>
          <w:szCs w:val="26"/>
        </w:rPr>
        <w:t>е</w:t>
      </w:r>
      <w:r w:rsidRPr="00193D7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Председателя Думы Тернейского муниципального района о результатах деятельности Думы Тернейского муниципального района</w:t>
      </w:r>
      <w:r w:rsidRPr="00193D7C">
        <w:rPr>
          <w:b/>
          <w:sz w:val="26"/>
          <w:szCs w:val="26"/>
        </w:rPr>
        <w:t xml:space="preserve"> за 2016 год</w:t>
      </w:r>
    </w:p>
    <w:p w:rsidR="00F25ED5" w:rsidRPr="00193D7C" w:rsidRDefault="00F25ED5" w:rsidP="00F25ED5">
      <w:pPr>
        <w:jc w:val="center"/>
        <w:rPr>
          <w:sz w:val="26"/>
          <w:szCs w:val="26"/>
        </w:rPr>
      </w:pPr>
    </w:p>
    <w:p w:rsidR="00F25ED5" w:rsidRDefault="00F25ED5" w:rsidP="00F25ED5">
      <w:pPr>
        <w:spacing w:line="360" w:lineRule="auto"/>
        <w:ind w:firstLine="709"/>
        <w:jc w:val="both"/>
        <w:outlineLvl w:val="0"/>
        <w:rPr>
          <w:sz w:val="26"/>
          <w:szCs w:val="26"/>
        </w:rPr>
      </w:pPr>
    </w:p>
    <w:p w:rsidR="00F25ED5" w:rsidRPr="00F25ED5" w:rsidRDefault="00F25ED5" w:rsidP="00F25ED5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25ED5">
        <w:rPr>
          <w:sz w:val="26"/>
          <w:szCs w:val="26"/>
        </w:rPr>
        <w:t>Заслушав и обсудив проект решения Думы Тернейского муниципального района «Об отчете председателя Думы Тернейского муниципального района о работе Думы за 2016 год», руководствуясь Федеральным законом от 06.10.2003 № 131-ФЗ «Об общих принципах организации местного самоуправления в Российской Федерации»,  Уставом Тернейского муниципального района, Дума Тернейского муниципального района</w:t>
      </w:r>
    </w:p>
    <w:p w:rsidR="00F25ED5" w:rsidRPr="00F25ED5" w:rsidRDefault="00F25ED5" w:rsidP="00F25ED5">
      <w:pPr>
        <w:outlineLvl w:val="0"/>
        <w:rPr>
          <w:b/>
          <w:sz w:val="26"/>
          <w:szCs w:val="26"/>
        </w:rPr>
      </w:pPr>
    </w:p>
    <w:p w:rsidR="00F25ED5" w:rsidRPr="00F25ED5" w:rsidRDefault="00F25ED5" w:rsidP="00F25ED5">
      <w:pPr>
        <w:outlineLvl w:val="0"/>
        <w:rPr>
          <w:b/>
          <w:sz w:val="26"/>
          <w:szCs w:val="26"/>
        </w:rPr>
      </w:pPr>
      <w:r w:rsidRPr="00F25ED5">
        <w:rPr>
          <w:b/>
          <w:sz w:val="26"/>
          <w:szCs w:val="26"/>
        </w:rPr>
        <w:t>РЕШИЛА:</w:t>
      </w:r>
    </w:p>
    <w:p w:rsidR="00F25ED5" w:rsidRPr="00F25ED5" w:rsidRDefault="00F25ED5" w:rsidP="00F25ED5">
      <w:pPr>
        <w:outlineLvl w:val="0"/>
        <w:rPr>
          <w:b/>
          <w:sz w:val="26"/>
          <w:szCs w:val="26"/>
        </w:rPr>
      </w:pPr>
    </w:p>
    <w:p w:rsidR="00F25ED5" w:rsidRPr="00F25ED5" w:rsidRDefault="00F25ED5" w:rsidP="00F25ED5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25ED5">
        <w:rPr>
          <w:sz w:val="26"/>
          <w:szCs w:val="26"/>
        </w:rPr>
        <w:t>1.Отчет председателя Думы Тернейского муниципального района о работе Думы за 2016 год принять к сведению (прилагается).</w:t>
      </w:r>
    </w:p>
    <w:p w:rsidR="00F25ED5" w:rsidRPr="00F25ED5" w:rsidRDefault="00F25ED5" w:rsidP="00F25ED5"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F25ED5">
        <w:rPr>
          <w:sz w:val="26"/>
          <w:szCs w:val="26"/>
        </w:rPr>
        <w:t>2.Настоящее решение вступает в силу со дня его принятия.</w:t>
      </w:r>
    </w:p>
    <w:p w:rsidR="00F25ED5" w:rsidRPr="00F25ED5" w:rsidRDefault="00F25ED5" w:rsidP="00F25ED5">
      <w:pPr>
        <w:outlineLvl w:val="0"/>
        <w:rPr>
          <w:sz w:val="26"/>
          <w:szCs w:val="26"/>
        </w:rPr>
      </w:pPr>
    </w:p>
    <w:p w:rsidR="00F25ED5" w:rsidRPr="00F25ED5" w:rsidRDefault="00F25ED5" w:rsidP="00F25ED5">
      <w:pPr>
        <w:outlineLvl w:val="0"/>
        <w:rPr>
          <w:sz w:val="26"/>
          <w:szCs w:val="26"/>
        </w:rPr>
      </w:pPr>
    </w:p>
    <w:p w:rsidR="00F25ED5" w:rsidRPr="00F25ED5" w:rsidRDefault="00F25ED5" w:rsidP="00F25ED5">
      <w:pPr>
        <w:outlineLvl w:val="0"/>
        <w:rPr>
          <w:sz w:val="26"/>
          <w:szCs w:val="26"/>
        </w:rPr>
      </w:pPr>
    </w:p>
    <w:p w:rsidR="00F25ED5" w:rsidRPr="00F25ED5" w:rsidRDefault="00F25ED5" w:rsidP="00F25ED5">
      <w:pPr>
        <w:outlineLvl w:val="0"/>
        <w:rPr>
          <w:sz w:val="26"/>
          <w:szCs w:val="26"/>
        </w:rPr>
      </w:pPr>
    </w:p>
    <w:p w:rsidR="00F25ED5" w:rsidRPr="00F25ED5" w:rsidRDefault="00F25ED5" w:rsidP="00F25ED5">
      <w:pPr>
        <w:outlineLvl w:val="0"/>
        <w:rPr>
          <w:sz w:val="26"/>
          <w:szCs w:val="26"/>
        </w:rPr>
      </w:pPr>
    </w:p>
    <w:p w:rsidR="00F25ED5" w:rsidRPr="00F25ED5" w:rsidRDefault="00F25ED5" w:rsidP="00F25ED5">
      <w:pPr>
        <w:outlineLvl w:val="0"/>
        <w:rPr>
          <w:sz w:val="26"/>
          <w:szCs w:val="26"/>
        </w:rPr>
      </w:pPr>
      <w:r w:rsidRPr="00F25ED5">
        <w:rPr>
          <w:sz w:val="26"/>
          <w:szCs w:val="26"/>
        </w:rPr>
        <w:t xml:space="preserve">Председатель </w:t>
      </w:r>
    </w:p>
    <w:p w:rsidR="00F25ED5" w:rsidRPr="00F25ED5" w:rsidRDefault="00F25ED5" w:rsidP="00F25ED5">
      <w:pPr>
        <w:outlineLvl w:val="0"/>
        <w:rPr>
          <w:sz w:val="26"/>
          <w:szCs w:val="26"/>
        </w:rPr>
      </w:pPr>
      <w:r w:rsidRPr="00F25ED5">
        <w:rPr>
          <w:sz w:val="26"/>
          <w:szCs w:val="26"/>
        </w:rPr>
        <w:t xml:space="preserve">Думы Тернейского муниципального района </w:t>
      </w:r>
      <w:r w:rsidRPr="00F25ED5">
        <w:rPr>
          <w:sz w:val="26"/>
          <w:szCs w:val="26"/>
        </w:rPr>
        <w:tab/>
      </w:r>
      <w:r w:rsidRPr="00F25ED5">
        <w:rPr>
          <w:sz w:val="26"/>
          <w:szCs w:val="26"/>
        </w:rPr>
        <w:tab/>
      </w:r>
      <w:r w:rsidRPr="00F25ED5">
        <w:rPr>
          <w:sz w:val="26"/>
          <w:szCs w:val="26"/>
        </w:rPr>
        <w:tab/>
      </w:r>
      <w:r w:rsidR="00651DA9">
        <w:rPr>
          <w:sz w:val="26"/>
          <w:szCs w:val="26"/>
        </w:rPr>
        <w:t xml:space="preserve">                    </w:t>
      </w:r>
      <w:r w:rsidRPr="00F25ED5">
        <w:rPr>
          <w:sz w:val="26"/>
          <w:szCs w:val="26"/>
        </w:rPr>
        <w:t>А.А. Вихров</w:t>
      </w:r>
    </w:p>
    <w:p w:rsidR="00F25ED5" w:rsidRPr="00193D7C" w:rsidRDefault="00F25ED5" w:rsidP="00F25ED5">
      <w:pPr>
        <w:spacing w:line="360" w:lineRule="auto"/>
        <w:ind w:firstLine="709"/>
        <w:jc w:val="both"/>
        <w:rPr>
          <w:sz w:val="26"/>
          <w:szCs w:val="26"/>
        </w:rPr>
      </w:pPr>
    </w:p>
    <w:p w:rsidR="00F25ED5" w:rsidRPr="00193D7C" w:rsidRDefault="00F25ED5" w:rsidP="00F25ED5">
      <w:pPr>
        <w:outlineLvl w:val="0"/>
        <w:rPr>
          <w:sz w:val="26"/>
          <w:szCs w:val="26"/>
        </w:rPr>
      </w:pPr>
      <w:r w:rsidRPr="00193D7C">
        <w:rPr>
          <w:sz w:val="26"/>
          <w:szCs w:val="26"/>
        </w:rPr>
        <w:t xml:space="preserve">                                </w:t>
      </w:r>
    </w:p>
    <w:p w:rsidR="00F25ED5" w:rsidRPr="00193D7C" w:rsidRDefault="00F25ED5" w:rsidP="00F25ED5">
      <w:pPr>
        <w:rPr>
          <w:sz w:val="26"/>
          <w:szCs w:val="26"/>
        </w:rPr>
      </w:pPr>
    </w:p>
    <w:p w:rsidR="00F25ED5" w:rsidRDefault="00F25ED5" w:rsidP="00F25ED5">
      <w:pPr>
        <w:tabs>
          <w:tab w:val="left" w:pos="4223"/>
        </w:tabs>
        <w:jc w:val="both"/>
        <w:rPr>
          <w:sz w:val="26"/>
          <w:szCs w:val="26"/>
        </w:rPr>
      </w:pPr>
    </w:p>
    <w:p w:rsidR="00F25ED5" w:rsidRDefault="00F25ED5" w:rsidP="00F25ED5">
      <w:pPr>
        <w:tabs>
          <w:tab w:val="left" w:pos="4223"/>
        </w:tabs>
        <w:jc w:val="both"/>
        <w:rPr>
          <w:sz w:val="26"/>
          <w:szCs w:val="26"/>
        </w:rPr>
      </w:pPr>
    </w:p>
    <w:p w:rsidR="00F25ED5" w:rsidRDefault="00F25ED5" w:rsidP="00F25ED5">
      <w:pPr>
        <w:tabs>
          <w:tab w:val="left" w:pos="4223"/>
        </w:tabs>
        <w:jc w:val="both"/>
        <w:rPr>
          <w:sz w:val="26"/>
          <w:szCs w:val="26"/>
        </w:rPr>
      </w:pPr>
    </w:p>
    <w:p w:rsidR="00F25ED5" w:rsidRDefault="00F25ED5" w:rsidP="00F25ED5">
      <w:pPr>
        <w:tabs>
          <w:tab w:val="left" w:pos="4223"/>
        </w:tabs>
        <w:jc w:val="both"/>
        <w:rPr>
          <w:sz w:val="26"/>
          <w:szCs w:val="26"/>
        </w:rPr>
      </w:pPr>
    </w:p>
    <w:p w:rsidR="00F25ED5" w:rsidRDefault="00F25ED5" w:rsidP="00F25ED5">
      <w:pPr>
        <w:tabs>
          <w:tab w:val="left" w:pos="4223"/>
        </w:tabs>
        <w:jc w:val="both"/>
        <w:rPr>
          <w:sz w:val="26"/>
          <w:szCs w:val="26"/>
        </w:rPr>
      </w:pPr>
    </w:p>
    <w:p w:rsidR="00F25ED5" w:rsidRPr="00193D7C" w:rsidRDefault="00F25ED5" w:rsidP="00F25ED5">
      <w:pPr>
        <w:tabs>
          <w:tab w:val="left" w:pos="4223"/>
        </w:tabs>
        <w:jc w:val="both"/>
        <w:rPr>
          <w:sz w:val="26"/>
          <w:szCs w:val="26"/>
        </w:rPr>
      </w:pPr>
    </w:p>
    <w:p w:rsidR="00F25ED5" w:rsidRPr="00193D7C" w:rsidRDefault="00F25ED5" w:rsidP="00F25ED5">
      <w:pPr>
        <w:tabs>
          <w:tab w:val="left" w:pos="4223"/>
        </w:tabs>
        <w:jc w:val="both"/>
        <w:rPr>
          <w:sz w:val="26"/>
          <w:szCs w:val="26"/>
        </w:rPr>
      </w:pPr>
    </w:p>
    <w:p w:rsidR="00F25ED5" w:rsidRPr="00193D7C" w:rsidRDefault="00F25ED5" w:rsidP="00F25ED5">
      <w:pPr>
        <w:rPr>
          <w:sz w:val="16"/>
          <w:szCs w:val="16"/>
        </w:rPr>
      </w:pPr>
    </w:p>
    <w:tbl>
      <w:tblPr>
        <w:tblW w:w="9654" w:type="dxa"/>
        <w:tblInd w:w="93" w:type="dxa"/>
        <w:tblLayout w:type="fixed"/>
        <w:tblLook w:val="0000"/>
      </w:tblPr>
      <w:tblGrid>
        <w:gridCol w:w="2329"/>
        <w:gridCol w:w="4523"/>
        <w:gridCol w:w="2802"/>
      </w:tblGrid>
      <w:tr w:rsidR="00F25ED5" w:rsidRPr="00193D7C" w:rsidTr="005E2675">
        <w:trPr>
          <w:trHeight w:val="255"/>
        </w:trPr>
        <w:tc>
          <w:tcPr>
            <w:tcW w:w="2329" w:type="dxa"/>
            <w:noWrap/>
            <w:vAlign w:val="bottom"/>
          </w:tcPr>
          <w:p w:rsidR="00F25ED5" w:rsidRPr="00193D7C" w:rsidRDefault="00F25ED5" w:rsidP="005E2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23" w:type="dxa"/>
            <w:noWrap/>
            <w:vAlign w:val="bottom"/>
          </w:tcPr>
          <w:p w:rsidR="00F25ED5" w:rsidRPr="00193D7C" w:rsidRDefault="00F25ED5" w:rsidP="005E2675">
            <w:pPr>
              <w:rPr>
                <w:sz w:val="16"/>
                <w:szCs w:val="16"/>
              </w:rPr>
            </w:pPr>
          </w:p>
        </w:tc>
        <w:tc>
          <w:tcPr>
            <w:tcW w:w="2802" w:type="dxa"/>
            <w:noWrap/>
            <w:vAlign w:val="bottom"/>
          </w:tcPr>
          <w:p w:rsidR="00F25ED5" w:rsidRPr="00193D7C" w:rsidRDefault="00F25ED5" w:rsidP="00F25ED5">
            <w:pPr>
              <w:jc w:val="right"/>
              <w:rPr>
                <w:sz w:val="16"/>
                <w:szCs w:val="16"/>
              </w:rPr>
            </w:pPr>
            <w:r w:rsidRPr="00193D7C">
              <w:rPr>
                <w:sz w:val="16"/>
                <w:szCs w:val="16"/>
              </w:rPr>
              <w:t>Прил</w:t>
            </w:r>
            <w:r>
              <w:rPr>
                <w:sz w:val="16"/>
                <w:szCs w:val="16"/>
              </w:rPr>
              <w:t>агается</w:t>
            </w:r>
          </w:p>
        </w:tc>
      </w:tr>
      <w:tr w:rsidR="00F25ED5" w:rsidRPr="00193D7C" w:rsidTr="005E2675">
        <w:trPr>
          <w:trHeight w:val="255"/>
        </w:trPr>
        <w:tc>
          <w:tcPr>
            <w:tcW w:w="2329" w:type="dxa"/>
            <w:noWrap/>
            <w:vAlign w:val="bottom"/>
          </w:tcPr>
          <w:p w:rsidR="00F25ED5" w:rsidRPr="00193D7C" w:rsidRDefault="00F25ED5" w:rsidP="005E2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25" w:type="dxa"/>
            <w:gridSpan w:val="2"/>
            <w:noWrap/>
            <w:vAlign w:val="bottom"/>
          </w:tcPr>
          <w:p w:rsidR="00F25ED5" w:rsidRPr="00193D7C" w:rsidRDefault="00F25ED5" w:rsidP="005E2675">
            <w:pPr>
              <w:jc w:val="right"/>
              <w:rPr>
                <w:sz w:val="16"/>
                <w:szCs w:val="16"/>
              </w:rPr>
            </w:pPr>
            <w:r w:rsidRPr="00193D7C">
              <w:rPr>
                <w:sz w:val="16"/>
                <w:szCs w:val="16"/>
              </w:rPr>
              <w:t xml:space="preserve">к решению Думы Тернейского муниципального района </w:t>
            </w:r>
          </w:p>
        </w:tc>
      </w:tr>
      <w:tr w:rsidR="00F25ED5" w:rsidRPr="00193D7C" w:rsidTr="005E2675">
        <w:trPr>
          <w:trHeight w:val="255"/>
        </w:trPr>
        <w:tc>
          <w:tcPr>
            <w:tcW w:w="2329" w:type="dxa"/>
            <w:noWrap/>
            <w:vAlign w:val="bottom"/>
          </w:tcPr>
          <w:p w:rsidR="00F25ED5" w:rsidRPr="00193D7C" w:rsidRDefault="00F25ED5" w:rsidP="005E2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25" w:type="dxa"/>
            <w:gridSpan w:val="2"/>
            <w:noWrap/>
            <w:vAlign w:val="bottom"/>
          </w:tcPr>
          <w:p w:rsidR="00F25ED5" w:rsidRPr="00193D7C" w:rsidRDefault="00F25ED5" w:rsidP="005E267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30.05.2017 № 453</w:t>
            </w:r>
          </w:p>
        </w:tc>
      </w:tr>
    </w:tbl>
    <w:p w:rsidR="00F25ED5" w:rsidRPr="00440E3F" w:rsidRDefault="00F25ED5" w:rsidP="00F25ED5">
      <w:pPr>
        <w:jc w:val="center"/>
        <w:outlineLvl w:val="0"/>
        <w:rPr>
          <w:b/>
        </w:rPr>
      </w:pPr>
      <w:r w:rsidRPr="00440E3F">
        <w:rPr>
          <w:b/>
        </w:rPr>
        <w:t>ОТЧЁТ</w:t>
      </w:r>
    </w:p>
    <w:p w:rsidR="00F25ED5" w:rsidRPr="00440E3F" w:rsidRDefault="00F25ED5" w:rsidP="00F25ED5">
      <w:pPr>
        <w:jc w:val="center"/>
        <w:outlineLvl w:val="0"/>
        <w:rPr>
          <w:b/>
        </w:rPr>
      </w:pPr>
      <w:r w:rsidRPr="00440E3F">
        <w:rPr>
          <w:b/>
        </w:rPr>
        <w:t>о работе Думы Тернейского муниципального района за 201</w:t>
      </w:r>
      <w:r>
        <w:rPr>
          <w:b/>
        </w:rPr>
        <w:t>6</w:t>
      </w:r>
      <w:r w:rsidRPr="00440E3F">
        <w:rPr>
          <w:b/>
        </w:rPr>
        <w:t xml:space="preserve"> год.</w:t>
      </w:r>
    </w:p>
    <w:p w:rsidR="00F25ED5" w:rsidRPr="00440E3F" w:rsidRDefault="00F25ED5" w:rsidP="00F25ED5">
      <w:pPr>
        <w:jc w:val="center"/>
      </w:pPr>
    </w:p>
    <w:p w:rsidR="00F25ED5" w:rsidRPr="00440E3F" w:rsidRDefault="00F25ED5" w:rsidP="00F25ED5">
      <w:pPr>
        <w:jc w:val="both"/>
        <w:rPr>
          <w:b/>
        </w:rPr>
      </w:pPr>
    </w:p>
    <w:p w:rsidR="00F25ED5" w:rsidRPr="00440E3F" w:rsidRDefault="00F25ED5" w:rsidP="00F25ED5">
      <w:pPr>
        <w:pStyle w:val="text"/>
      </w:pPr>
      <w:proofErr w:type="gramStart"/>
      <w:r w:rsidRPr="00440E3F">
        <w:t xml:space="preserve">В соответствии с Уставом Тернейского муниципального района, Регламентом Думы Тернейского муниципального района, основной формой деятельности депутатов Думы Тернейского муниципального района являются заседания Думы, заседания думских комиссий, оргкомитетов, согласительных комиссий и рабочих групп, а также проводимые в соответствии с Регламентом иные мероприятия, связанные с деятельностью Думы Тернейского муниципального района, в том числе контрольные. </w:t>
      </w:r>
      <w:proofErr w:type="gramEnd"/>
    </w:p>
    <w:p w:rsidR="00F25ED5" w:rsidRDefault="00F25ED5" w:rsidP="00F25ED5">
      <w:pPr>
        <w:pStyle w:val="text"/>
      </w:pPr>
      <w:proofErr w:type="gramStart"/>
      <w:r w:rsidRPr="00440E3F">
        <w:t>Дума Тернейского муниципального района в 201</w:t>
      </w:r>
      <w:r>
        <w:t>6</w:t>
      </w:r>
      <w:r w:rsidRPr="00440E3F">
        <w:t xml:space="preserve"> году осуществляла правотворческие и контрольные функции в порядке и пределах, установленных федеральным законодательством, законодательством Приморского края, Уставом Тернейского муниципального района, Регламентом Думы, путем принятия</w:t>
      </w:r>
      <w:r>
        <w:t xml:space="preserve"> нормативных актов, заслушивания</w:t>
      </w:r>
      <w:r w:rsidRPr="00440E3F">
        <w:t xml:space="preserve"> отчётов администрации Тернейского муниципального района и её структурных подразделений, о проводимых ими мероприятиях по реализации принятых решений</w:t>
      </w:r>
      <w:r w:rsidRPr="00522239">
        <w:t xml:space="preserve"> </w:t>
      </w:r>
      <w:r w:rsidRPr="00440E3F">
        <w:t xml:space="preserve">и программ. </w:t>
      </w:r>
      <w:proofErr w:type="gramEnd"/>
    </w:p>
    <w:p w:rsidR="00F25ED5" w:rsidRPr="00F25ED5" w:rsidRDefault="00F25ED5" w:rsidP="00F25ED5">
      <w:pPr>
        <w:pStyle w:val="text"/>
      </w:pPr>
      <w:r w:rsidRPr="00C111B5">
        <w:t xml:space="preserve">В 2016 году Думой было проведено 11 очередных и 6 внеочередных заседаний. Комиссией по бюджетно-налоговой политике и финансовым ресурсам проведено 13 заседаний, комиссией по социальной политике и защите прав граждан проведено -  3 заседания. </w:t>
      </w:r>
    </w:p>
    <w:p w:rsidR="00F25ED5" w:rsidRPr="00F25ED5" w:rsidRDefault="00F25ED5" w:rsidP="00F25ED5">
      <w:pPr>
        <w:ind w:firstLine="709"/>
        <w:jc w:val="both"/>
        <w:outlineLvl w:val="0"/>
      </w:pPr>
      <w:r w:rsidRPr="00F25ED5">
        <w:t xml:space="preserve">Комиссия по бюджетно-налоговой политике и финансовым ресурсам рассматривала проекты МПА, относящиеся к финансово-хозяйственной, финансовой,  бюджетной сферах деятельности органов местного самоуправления городских и сельских поселений и Тернейского муниципального района. Комиссией также рассматривались проекты решений по продаже муниципального имущества, проекты и положения, относящиеся к сфере имущественных и земельных отношений.  </w:t>
      </w:r>
    </w:p>
    <w:p w:rsidR="00F25ED5" w:rsidRDefault="00F25ED5" w:rsidP="00F25ED5">
      <w:pPr>
        <w:pStyle w:val="a4"/>
        <w:spacing w:after="0"/>
        <w:ind w:firstLine="709"/>
        <w:jc w:val="both"/>
      </w:pPr>
      <w:r w:rsidRPr="00C111B5">
        <w:t>Комиссия по социальной политике и защите прав граждан рассматривала</w:t>
      </w:r>
      <w:r>
        <w:t xml:space="preserve"> проекты МПА по утверждению Положений, Порядков, прогнозных планов приватизации муниципального имущества, работала по противодействию и предотвращению коррупции. </w:t>
      </w:r>
    </w:p>
    <w:p w:rsidR="00F25ED5" w:rsidRDefault="00F25ED5" w:rsidP="00F25ED5">
      <w:pPr>
        <w:pStyle w:val="a4"/>
        <w:spacing w:after="0"/>
        <w:ind w:firstLine="709"/>
        <w:jc w:val="both"/>
      </w:pPr>
      <w:r>
        <w:t>Основные результаты работы Думы Тернейского муниципального района приведены в таблице:</w:t>
      </w:r>
    </w:p>
    <w:tbl>
      <w:tblPr>
        <w:tblW w:w="490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3"/>
        <w:gridCol w:w="7018"/>
        <w:gridCol w:w="1804"/>
      </w:tblGrid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r>
              <w:rPr>
                <w:b/>
                <w:bCs/>
                <w:sz w:val="22"/>
                <w:szCs w:val="22"/>
              </w:rPr>
              <w:t xml:space="preserve">Проведено: 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заседаний Думы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отчетов Думы перед избирателями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 xml:space="preserve">– депутатских слушаний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>– публичных слушаний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Принятые решения Думы,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111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4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r>
              <w:rPr>
                <w:b/>
                <w:bCs/>
                <w:sz w:val="22"/>
                <w:szCs w:val="22"/>
              </w:rPr>
              <w:t>из них: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по внесению изменений в Устав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по бюджету, налогам и имуществу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по реализации вопросов местного значения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по противодействию коррупции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по вопросам, связанным с прохождением муниципальной службы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по вопросам организации деятельности Думы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прочие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r>
              <w:rPr>
                <w:b/>
                <w:bCs/>
                <w:sz w:val="22"/>
                <w:szCs w:val="22"/>
              </w:rPr>
              <w:t xml:space="preserve"> Рассмотрено:</w:t>
            </w:r>
            <w:r>
              <w:rPr>
                <w:sz w:val="22"/>
                <w:szCs w:val="22"/>
              </w:rPr>
              <w:t> 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депутатских запросов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протестов прокурора /из них удовлетворено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1/1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представлений прокурора/ из них удовлетворено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3/2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требований прокурора/ из них удовлетворено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1/1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r>
              <w:rPr>
                <w:b/>
                <w:bCs/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обращений граждан / из них:</w:t>
            </w:r>
          </w:p>
          <w:p w:rsidR="00F25ED5" w:rsidRDefault="00F25ED5" w:rsidP="005E2675">
            <w:pPr>
              <w:rPr>
                <w:b/>
                <w:bCs/>
              </w:rPr>
            </w:pPr>
            <w:proofErr w:type="gramStart"/>
            <w:r>
              <w:rPr>
                <w:sz w:val="22"/>
                <w:szCs w:val="22"/>
              </w:rPr>
              <w:t>решено положительно/даны</w:t>
            </w:r>
            <w:proofErr w:type="gramEnd"/>
            <w:r>
              <w:rPr>
                <w:sz w:val="22"/>
                <w:szCs w:val="22"/>
              </w:rPr>
              <w:t xml:space="preserve"> разъяснения/перенаправлены по компетенции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/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3/3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Заслушано отчетов,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</w:p>
        </w:tc>
        <w:tc>
          <w:tcPr>
            <w:tcW w:w="4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 том числе: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>– главы муниципального образования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администрации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контрольного органа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территориального органа МВД России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bookmarkStart w:id="0" w:name="_GoBack"/>
            <w:bookmarkEnd w:id="0"/>
            <w:r>
              <w:rPr>
                <w:sz w:val="22"/>
                <w:szCs w:val="22"/>
              </w:rPr>
              <w:t>– прочих организаций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ind w:left="142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r>
              <w:rPr>
                <w:b/>
                <w:bCs/>
                <w:sz w:val="22"/>
                <w:szCs w:val="22"/>
              </w:rPr>
              <w:t>Подготовлено законодательных инициатив: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both"/>
            </w:pPr>
            <w:r>
              <w:rPr>
                <w:sz w:val="22"/>
                <w:szCs w:val="22"/>
              </w:rPr>
              <w:t>– о внесении изменений в федеральное законодательство / из них принято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F25ED5" w:rsidTr="005E2675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  <w:rPr>
                <w:b/>
                <w:bCs/>
              </w:rPr>
            </w:pPr>
          </w:p>
        </w:tc>
        <w:tc>
          <w:tcPr>
            <w:tcW w:w="3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r>
              <w:rPr>
                <w:sz w:val="22"/>
                <w:szCs w:val="22"/>
              </w:rPr>
              <w:t>– о внесении изменений в краевое законодательство / из них принято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D5" w:rsidRDefault="00F25ED5" w:rsidP="005E2675">
            <w:pPr>
              <w:jc w:val="center"/>
            </w:pPr>
            <w:r>
              <w:rPr>
                <w:sz w:val="22"/>
                <w:szCs w:val="22"/>
              </w:rPr>
              <w:t>2/2</w:t>
            </w:r>
          </w:p>
        </w:tc>
      </w:tr>
    </w:tbl>
    <w:p w:rsidR="00F25ED5" w:rsidRPr="00440E3F" w:rsidRDefault="00F25ED5" w:rsidP="00F25ED5">
      <w:pPr>
        <w:pStyle w:val="text"/>
      </w:pPr>
    </w:p>
    <w:p w:rsidR="00F25ED5" w:rsidRPr="00440E3F" w:rsidRDefault="00F25ED5" w:rsidP="00F25ED5">
      <w:pPr>
        <w:pStyle w:val="text"/>
      </w:pPr>
      <w:r w:rsidRPr="00440E3F">
        <w:t xml:space="preserve">В рамках Программы социально-экономического развития Тернейского муниципального района </w:t>
      </w:r>
      <w:r>
        <w:t xml:space="preserve">депутатами Думы велся </w:t>
      </w:r>
      <w:proofErr w:type="gramStart"/>
      <w:r>
        <w:t>контроль за</w:t>
      </w:r>
      <w:proofErr w:type="gramEnd"/>
      <w:r>
        <w:t xml:space="preserve"> исполнением программ разработанных </w:t>
      </w:r>
      <w:r w:rsidRPr="00440E3F">
        <w:t>администрацией Тернейского муниципального района</w:t>
      </w:r>
      <w:r>
        <w:t>,</w:t>
      </w:r>
      <w:r w:rsidRPr="00440E3F">
        <w:t xml:space="preserve"> рассчитанных на удовлетворение насущных </w:t>
      </w:r>
      <w:r>
        <w:t>нужд</w:t>
      </w:r>
      <w:r w:rsidRPr="00440E3F">
        <w:t xml:space="preserve"> населения района, на то, что бы граждане Тернейского района в более полной мере могли быть удовлетворены комфортом проживания в нашем районе. </w:t>
      </w:r>
    </w:p>
    <w:p w:rsidR="00F25ED5" w:rsidRDefault="00F25ED5" w:rsidP="00F25ED5">
      <w:pPr>
        <w:pStyle w:val="text"/>
      </w:pPr>
      <w:r>
        <w:t>В</w:t>
      </w:r>
      <w:r w:rsidRPr="00440E3F">
        <w:t xml:space="preserve"> 201</w:t>
      </w:r>
      <w:r>
        <w:t>6</w:t>
      </w:r>
      <w:r w:rsidRPr="00440E3F">
        <w:t xml:space="preserve"> году велась работа по</w:t>
      </w:r>
      <w:r>
        <w:t xml:space="preserve"> реализации и контролю следующих</w:t>
      </w:r>
      <w:r w:rsidRPr="00440E3F">
        <w:t xml:space="preserve"> </w:t>
      </w:r>
      <w:r>
        <w:t>п</w:t>
      </w:r>
      <w:r w:rsidRPr="00440E3F">
        <w:t xml:space="preserve">рограмм: </w:t>
      </w:r>
    </w:p>
    <w:p w:rsidR="00F25ED5" w:rsidRPr="00440E3F" w:rsidRDefault="00F25ED5" w:rsidP="00F25ED5">
      <w:pPr>
        <w:pStyle w:val="text"/>
      </w:pPr>
    </w:p>
    <w:tbl>
      <w:tblPr>
        <w:tblW w:w="9472" w:type="dxa"/>
        <w:tblInd w:w="-150" w:type="dxa"/>
        <w:tblLayout w:type="fixed"/>
        <w:tblLook w:val="0000"/>
      </w:tblPr>
      <w:tblGrid>
        <w:gridCol w:w="7913"/>
        <w:gridCol w:w="1559"/>
      </w:tblGrid>
      <w:tr w:rsidR="00F25ED5" w:rsidRPr="008C3489" w:rsidTr="00F25ED5">
        <w:trPr>
          <w:trHeight w:val="288"/>
        </w:trPr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ED5" w:rsidRPr="008C3489" w:rsidRDefault="00F25ED5" w:rsidP="00F25ED5">
            <w:pPr>
              <w:jc w:val="center"/>
              <w:rPr>
                <w:rFonts w:ascii="Calibri" w:hAnsi="Calibri"/>
                <w:color w:val="000000"/>
              </w:rPr>
            </w:pPr>
            <w:r w:rsidRPr="008C348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25ED5" w:rsidRPr="008C3489" w:rsidTr="00F25ED5">
        <w:trPr>
          <w:trHeight w:val="900"/>
        </w:trPr>
        <w:tc>
          <w:tcPr>
            <w:tcW w:w="7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Муниципальная целевая программа</w:t>
            </w:r>
            <w:proofErr w:type="gramStart"/>
            <w:r w:rsidRPr="008C3489">
              <w:rPr>
                <w:b/>
                <w:bCs/>
                <w:color w:val="000000"/>
                <w:sz w:val="22"/>
                <w:szCs w:val="22"/>
              </w:rPr>
              <w:t>"Р</w:t>
            </w:r>
            <w:proofErr w:type="gramEnd"/>
            <w:r w:rsidRPr="008C3489">
              <w:rPr>
                <w:b/>
                <w:bCs/>
                <w:color w:val="000000"/>
                <w:sz w:val="22"/>
                <w:szCs w:val="22"/>
              </w:rPr>
              <w:t>азвитие культуры в Тернейском муниципальном районе на 2013-2017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660,00</w:t>
            </w:r>
          </w:p>
        </w:tc>
      </w:tr>
      <w:tr w:rsidR="00F25ED5" w:rsidRPr="008C3489" w:rsidTr="00F25ED5">
        <w:trPr>
          <w:trHeight w:val="63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«Укрепление материально технической базы учреждений»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60,00</w:t>
            </w:r>
          </w:p>
        </w:tc>
      </w:tr>
      <w:tr w:rsidR="00F25ED5" w:rsidRPr="008C3489" w:rsidTr="00F25ED5">
        <w:trPr>
          <w:trHeight w:val="66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Приобретение для МКУ «Центральная районная библиотека» (подписка, пополнение книжного фонда)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60,00</w:t>
            </w:r>
          </w:p>
        </w:tc>
      </w:tr>
      <w:tr w:rsidR="00F25ED5" w:rsidRPr="008C3489" w:rsidTr="00F25ED5">
        <w:trPr>
          <w:trHeight w:val="58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 xml:space="preserve">Основное мероприятие 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«Создание краеведческого музея»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600,00</w:t>
            </w:r>
          </w:p>
        </w:tc>
      </w:tr>
      <w:tr w:rsidR="00F25ED5" w:rsidRPr="008C3489" w:rsidTr="00F25ED5">
        <w:trPr>
          <w:trHeight w:val="39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Создание краеведческого музея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F25ED5" w:rsidRPr="008C3489" w:rsidTr="00F25ED5">
        <w:trPr>
          <w:trHeight w:val="88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 xml:space="preserve">Муниципальная целевая программа "Обеспечение жильём молодых семей  Тернейского </w:t>
            </w:r>
            <w:proofErr w:type="gramStart"/>
            <w:r w:rsidRPr="008C3489">
              <w:rPr>
                <w:b/>
                <w:bCs/>
                <w:color w:val="000000"/>
                <w:sz w:val="22"/>
                <w:szCs w:val="22"/>
              </w:rPr>
              <w:t>муниципального</w:t>
            </w:r>
            <w:proofErr w:type="gramEnd"/>
            <w:r w:rsidRPr="008C3489">
              <w:rPr>
                <w:b/>
                <w:bCs/>
                <w:color w:val="000000"/>
                <w:sz w:val="22"/>
                <w:szCs w:val="22"/>
              </w:rPr>
              <w:t xml:space="preserve"> на 2013-2017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1200,00</w:t>
            </w:r>
          </w:p>
        </w:tc>
      </w:tr>
      <w:tr w:rsidR="00F25ED5" w:rsidRPr="008C3489" w:rsidTr="00F25ED5">
        <w:trPr>
          <w:trHeight w:val="88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«Предоставление социальных выплат молодым семьям – участникам программы для приобретения (строительства) жилья эконом класса».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1200,00</w:t>
            </w:r>
          </w:p>
        </w:tc>
      </w:tr>
      <w:tr w:rsidR="00F25ED5" w:rsidRPr="008C3489" w:rsidTr="00F25ED5">
        <w:trPr>
          <w:trHeight w:val="88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Предоставление социальных выплат молодым семьям – участникам программы для приобретения (строительства) жилья эконом класса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1200,00</w:t>
            </w:r>
          </w:p>
        </w:tc>
      </w:tr>
      <w:tr w:rsidR="00F25ED5" w:rsidRPr="008C3489" w:rsidTr="00F25ED5">
        <w:trPr>
          <w:trHeight w:val="100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«Развитие физической культуры и спорта в Тернейском муниципальном районе» на 2016-2018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</w:tr>
      <w:tr w:rsidR="00F25ED5" w:rsidRPr="008C3489" w:rsidTr="00F25ED5">
        <w:trPr>
          <w:trHeight w:val="64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 xml:space="preserve">Основное мероприятие 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«Проведение районных спортивных мероприятий»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500,00</w:t>
            </w:r>
          </w:p>
        </w:tc>
      </w:tr>
      <w:tr w:rsidR="00F25ED5" w:rsidRPr="008C3489" w:rsidTr="00F25ED5">
        <w:trPr>
          <w:trHeight w:val="40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Проведение районных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F25ED5" w:rsidRPr="008C3489" w:rsidTr="00F25ED5">
        <w:trPr>
          <w:trHeight w:val="123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 и поддержка малого и среднего предпринимательства в Тернейском муниципальном районе» на 2016-2018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200,00</w:t>
            </w:r>
          </w:p>
        </w:tc>
      </w:tr>
      <w:tr w:rsidR="00F25ED5" w:rsidRPr="008C3489" w:rsidTr="00F25ED5">
        <w:trPr>
          <w:trHeight w:val="93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 xml:space="preserve">Основное мероприятие 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«Финансовая поддержка (субсидия) субъектам малого и среднего предпринимательства 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200,00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Поддержка (субсидия) начинающих субъектов малого предпринимательства.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F25ED5" w:rsidRPr="008C3489" w:rsidTr="00F25ED5">
        <w:trPr>
          <w:trHeight w:val="9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«Ремонтная программа объектов инфраструктуры Тернейского муниципального района» на 2016-2018годы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2480,00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«Установка котла котельной №9 в п. Терней».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480,00</w:t>
            </w:r>
          </w:p>
        </w:tc>
      </w:tr>
      <w:tr w:rsidR="00F25ED5" w:rsidRPr="008C3489" w:rsidTr="00F25ED5">
        <w:trPr>
          <w:trHeight w:val="40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Установка котла котельной №9 в п. Терней.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480,00</w:t>
            </w:r>
          </w:p>
        </w:tc>
      </w:tr>
      <w:tr w:rsidR="00F25ED5" w:rsidRPr="008C3489" w:rsidTr="00F25ED5">
        <w:trPr>
          <w:trHeight w:val="9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 xml:space="preserve">Основное мероприятие 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«Капитальный ремонт теплотрассы котельной №2 п. Терней от тепловой камеры №4 до тепловой камеры №5».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2000,00</w:t>
            </w:r>
          </w:p>
        </w:tc>
      </w:tr>
      <w:tr w:rsidR="00F25ED5" w:rsidRPr="008C3489" w:rsidTr="00F25ED5">
        <w:trPr>
          <w:trHeight w:val="70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Капитальный ремонт теплотрассы котельной №2 п. Терней от тепловой камеры №4 до тепловой камеры №5.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2000,00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Муниципальная программа «Пожарная безопасность в учреждениях культуры» на 2015 – 2016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F25ED5" w:rsidRPr="008C3489" w:rsidTr="00F25ED5">
        <w:trPr>
          <w:trHeight w:val="130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«Приобретение планов эвакуации, монтаж системы автоматической пожарной сигнализации, оповещения людей о пожаре 3 тип»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100,00</w:t>
            </w:r>
          </w:p>
        </w:tc>
      </w:tr>
      <w:tr w:rsidR="00F25ED5" w:rsidRPr="008C3489" w:rsidTr="00F25ED5">
        <w:trPr>
          <w:trHeight w:val="90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Приобретение планов эвакуации, монтаж системы автоматической пожарной сигнализации, оповещения людей о пожаре 3 тип.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F25ED5" w:rsidRPr="008C3489" w:rsidTr="00F25ED5">
        <w:trPr>
          <w:trHeight w:val="91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Муниципальная целевая программа «Информатизация системы образования Тернейского муниципального района 2015 – 2017 годы».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124,00</w:t>
            </w:r>
          </w:p>
        </w:tc>
      </w:tr>
      <w:tr w:rsidR="00F25ED5" w:rsidRPr="008C3489" w:rsidTr="00F25ED5">
        <w:trPr>
          <w:trHeight w:val="91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«Программно-техническое обслуживание сети доступа к сети Интернет, включая оплату трафика».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124,00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Программно-техническое обслуживание сети доступа к сети Интернет, включая оплату трафика.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124,00</w:t>
            </w:r>
          </w:p>
        </w:tc>
      </w:tr>
      <w:tr w:rsidR="00F25ED5" w:rsidRPr="008C3489" w:rsidTr="00F25ED5">
        <w:trPr>
          <w:trHeight w:val="93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«Привлечение специалистов для работы в сфере образования Тернейского муниципального района» на 2015 -2018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60,00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«Единовременные выплаты специалистам, поступившим на работу».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24,00</w:t>
            </w:r>
          </w:p>
        </w:tc>
      </w:tr>
      <w:tr w:rsidR="00F25ED5" w:rsidRPr="008C3489" w:rsidTr="00F25ED5">
        <w:trPr>
          <w:trHeight w:val="91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Единовременные выплаты специалистам, поступившим на работу в муниципальные образовательные учреждения Тернейского муниципального района.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24,00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Оплата аренды жилого помещения</w:t>
            </w:r>
            <w:proofErr w:type="gram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».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36,00</w:t>
            </w:r>
          </w:p>
        </w:tc>
      </w:tr>
      <w:tr w:rsidR="00F25ED5" w:rsidRPr="008C3489" w:rsidTr="00F25ED5">
        <w:trPr>
          <w:trHeight w:val="42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Оплата аренды жилого помещения</w:t>
            </w:r>
            <w:proofErr w:type="gramStart"/>
            <w:r w:rsidRPr="008C3489">
              <w:rPr>
                <w:color w:val="000000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36,00</w:t>
            </w:r>
          </w:p>
        </w:tc>
      </w:tr>
      <w:tr w:rsidR="00F25ED5" w:rsidRPr="008C3489" w:rsidTr="00F25ED5">
        <w:trPr>
          <w:trHeight w:val="129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Муниципальная программа «Организация летнего оздоровления, отдыха и занятости детей и подростков Тернейского муниципального района» на 2016-2018годы.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Default="00F25ED5" w:rsidP="00F25ED5">
            <w:pPr>
              <w:jc w:val="center"/>
              <w:rPr>
                <w:b/>
                <w:bCs/>
                <w:color w:val="000000"/>
              </w:rPr>
            </w:pPr>
          </w:p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1275,00</w:t>
            </w:r>
          </w:p>
        </w:tc>
      </w:tr>
      <w:tr w:rsidR="00F25ED5" w:rsidRPr="008C3489" w:rsidTr="00F25ED5">
        <w:trPr>
          <w:trHeight w:val="94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«Организация работы пришкольных оздоровительных лагерей с дневным пребыванием»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645,90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Организация работы пришкольных оздоровительных лагерей с дневным пребыванием.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645,90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«Организация трудоустройства несовершеннолетних 14 – 18 лет».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549,10</w:t>
            </w:r>
          </w:p>
        </w:tc>
      </w:tr>
      <w:tr w:rsidR="00F25ED5" w:rsidRPr="008C3489" w:rsidTr="00F25ED5">
        <w:trPr>
          <w:trHeight w:val="6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Организация трудоустройства несовершеннолетних 14 – 18 лет.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549,10</w:t>
            </w:r>
          </w:p>
        </w:tc>
      </w:tr>
      <w:tr w:rsidR="00F25ED5" w:rsidRPr="008C3489" w:rsidTr="00F25ED5">
        <w:trPr>
          <w:trHeight w:val="61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  <w:u w:val="single"/>
              </w:rPr>
              <w:t xml:space="preserve">Основное мероприятие </w:t>
            </w: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«Укрепление материально-технической базы пришкольных лагерей».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C3489">
              <w:rPr>
                <w:b/>
                <w:bCs/>
                <w:i/>
                <w:iCs/>
                <w:color w:val="000000"/>
                <w:sz w:val="22"/>
                <w:szCs w:val="22"/>
              </w:rPr>
              <w:t>80,00</w:t>
            </w:r>
          </w:p>
        </w:tc>
      </w:tr>
      <w:tr w:rsidR="00F25ED5" w:rsidRPr="008C3489" w:rsidTr="00F25ED5">
        <w:trPr>
          <w:trHeight w:val="72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Укрепление материально-технической базы пришкольных лагерей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80,00</w:t>
            </w:r>
          </w:p>
        </w:tc>
      </w:tr>
      <w:tr w:rsidR="00F25ED5" w:rsidRPr="008C3489" w:rsidTr="00F25ED5">
        <w:trPr>
          <w:trHeight w:val="97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ED5" w:rsidRPr="008C3489" w:rsidRDefault="00F25ED5" w:rsidP="00F25ED5">
            <w:pPr>
              <w:rPr>
                <w:b/>
                <w:bCs/>
              </w:rPr>
            </w:pPr>
            <w:r w:rsidRPr="008C3489">
              <w:rPr>
                <w:b/>
                <w:bCs/>
                <w:sz w:val="22"/>
                <w:szCs w:val="22"/>
              </w:rPr>
              <w:t>Муниципальная программа «Модернизация дорожной сети Тернейского муниципального района»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</w:rPr>
            </w:pPr>
            <w:r w:rsidRPr="008C3489">
              <w:rPr>
                <w:b/>
                <w:bCs/>
                <w:i/>
                <w:iCs/>
                <w:sz w:val="22"/>
                <w:szCs w:val="22"/>
              </w:rPr>
              <w:t>7766,30</w:t>
            </w:r>
          </w:p>
        </w:tc>
      </w:tr>
      <w:tr w:rsidR="00F25ED5" w:rsidRPr="008C3489" w:rsidTr="00F25ED5">
        <w:trPr>
          <w:trHeight w:val="88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rPr>
                <w:b/>
                <w:bCs/>
                <w:i/>
                <w:iCs/>
              </w:rPr>
            </w:pPr>
            <w:r w:rsidRPr="008C3489">
              <w:rPr>
                <w:b/>
                <w:bCs/>
                <w:i/>
                <w:iCs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sz w:val="22"/>
                <w:szCs w:val="22"/>
              </w:rPr>
              <w:t xml:space="preserve"> «Мероприятия по содержанию автомобильных дорог общего пользования местного значения и искусственных сооружений на них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  <w:rPr>
                <w:b/>
                <w:bCs/>
                <w:i/>
                <w:iCs/>
              </w:rPr>
            </w:pPr>
            <w:r w:rsidRPr="008C3489">
              <w:rPr>
                <w:b/>
                <w:bCs/>
                <w:i/>
                <w:iCs/>
                <w:sz w:val="22"/>
                <w:szCs w:val="22"/>
              </w:rPr>
              <w:t>700,00</w:t>
            </w:r>
          </w:p>
        </w:tc>
      </w:tr>
      <w:tr w:rsidR="00F25ED5" w:rsidRPr="008C3489" w:rsidTr="00F25ED5">
        <w:trPr>
          <w:trHeight w:val="72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r w:rsidRPr="008C3489">
              <w:rPr>
                <w:sz w:val="22"/>
                <w:szCs w:val="22"/>
              </w:rPr>
              <w:t>Содержание автомобильных дорог общего пользования местного значения и инженерных сооружений на них.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</w:pPr>
            <w:r w:rsidRPr="008C3489">
              <w:rPr>
                <w:sz w:val="22"/>
                <w:szCs w:val="22"/>
              </w:rPr>
              <w:t>700,00</w:t>
            </w:r>
          </w:p>
        </w:tc>
      </w:tr>
      <w:tr w:rsidR="00F25ED5" w:rsidRPr="008C3489" w:rsidTr="00F25ED5">
        <w:trPr>
          <w:trHeight w:val="94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rPr>
                <w:b/>
                <w:bCs/>
                <w:i/>
                <w:iCs/>
              </w:rPr>
            </w:pPr>
            <w:r w:rsidRPr="008C3489">
              <w:rPr>
                <w:b/>
                <w:bCs/>
                <w:i/>
                <w:iCs/>
                <w:sz w:val="22"/>
                <w:szCs w:val="22"/>
                <w:u w:val="single"/>
              </w:rPr>
              <w:t>Основное мероприятие</w:t>
            </w:r>
            <w:r w:rsidRPr="008C3489">
              <w:rPr>
                <w:b/>
                <w:bCs/>
                <w:i/>
                <w:iCs/>
                <w:sz w:val="22"/>
                <w:szCs w:val="22"/>
              </w:rPr>
              <w:t xml:space="preserve"> «Мероприятия по ремонту и капитальному ремонту автомобильных дорог общего пользования местного значения и искусственных сооружений на них».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1566,30</w:t>
            </w:r>
          </w:p>
        </w:tc>
      </w:tr>
      <w:tr w:rsidR="00F25ED5" w:rsidRPr="008C3489" w:rsidTr="00F25ED5">
        <w:trPr>
          <w:trHeight w:val="72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r w:rsidRPr="008C3489">
              <w:rPr>
                <w:sz w:val="22"/>
                <w:szCs w:val="22"/>
              </w:rPr>
              <w:t>Капитальный ремонт автомобильной дороги общего пользования местного значения Терней-бухта Русская.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</w:pPr>
            <w:r w:rsidRPr="008C3489">
              <w:rPr>
                <w:sz w:val="22"/>
                <w:szCs w:val="22"/>
              </w:rPr>
              <w:t>1566,30</w:t>
            </w:r>
          </w:p>
        </w:tc>
      </w:tr>
      <w:tr w:rsidR="00F25ED5" w:rsidRPr="008C3489" w:rsidTr="00F25ED5">
        <w:trPr>
          <w:trHeight w:val="45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rPr>
                <w:b/>
                <w:bCs/>
                <w:i/>
                <w:iCs/>
              </w:rPr>
            </w:pPr>
            <w:r w:rsidRPr="008C3489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Основное мероприятие </w:t>
            </w:r>
            <w:r w:rsidRPr="008C3489">
              <w:rPr>
                <w:b/>
                <w:bCs/>
                <w:i/>
                <w:iCs/>
                <w:sz w:val="22"/>
                <w:szCs w:val="22"/>
              </w:rPr>
              <w:t>«Мероприятия по ремонту мостов».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5500,00</w:t>
            </w:r>
          </w:p>
        </w:tc>
      </w:tr>
      <w:tr w:rsidR="00F25ED5" w:rsidRPr="008C3489" w:rsidTr="00F25ED5">
        <w:trPr>
          <w:trHeight w:val="72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r w:rsidRPr="008C3489">
              <w:rPr>
                <w:sz w:val="22"/>
                <w:szCs w:val="22"/>
              </w:rPr>
              <w:lastRenderedPageBreak/>
              <w:t>Разработка проектно-сметной документации капитального ремонта моста через р. Серебрянка в п</w:t>
            </w:r>
            <w:proofErr w:type="gramStart"/>
            <w:r w:rsidRPr="008C3489">
              <w:rPr>
                <w:sz w:val="22"/>
                <w:szCs w:val="22"/>
              </w:rPr>
              <w:t>.Т</w:t>
            </w:r>
            <w:proofErr w:type="gramEnd"/>
            <w:r w:rsidRPr="008C3489">
              <w:rPr>
                <w:sz w:val="22"/>
                <w:szCs w:val="22"/>
              </w:rPr>
              <w:t>ерней.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F25ED5" w:rsidRPr="008C3489" w:rsidTr="00F25ED5">
        <w:trPr>
          <w:trHeight w:val="525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r w:rsidRPr="008C3489">
              <w:rPr>
                <w:sz w:val="22"/>
                <w:szCs w:val="22"/>
              </w:rPr>
              <w:t>Капитальный ремонт моста р. Серебрянка в п. Терней.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ED5" w:rsidRPr="008C3489" w:rsidRDefault="00F25ED5" w:rsidP="00F25ED5">
            <w:pPr>
              <w:jc w:val="center"/>
              <w:rPr>
                <w:color w:val="000000"/>
              </w:rPr>
            </w:pPr>
            <w:r w:rsidRPr="008C3489">
              <w:rPr>
                <w:color w:val="000000"/>
                <w:sz w:val="22"/>
                <w:szCs w:val="22"/>
              </w:rPr>
              <w:t>5000,00</w:t>
            </w:r>
          </w:p>
        </w:tc>
      </w:tr>
      <w:tr w:rsidR="00F25ED5" w:rsidRPr="008C3489" w:rsidTr="00F25ED5">
        <w:trPr>
          <w:trHeight w:val="480"/>
        </w:trPr>
        <w:tc>
          <w:tcPr>
            <w:tcW w:w="7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D5" w:rsidRPr="008C3489" w:rsidRDefault="00F25ED5" w:rsidP="00F25ED5">
            <w:pPr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Всего по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5ED5" w:rsidRPr="008C3489" w:rsidRDefault="00F25ED5" w:rsidP="00F25ED5">
            <w:pPr>
              <w:jc w:val="center"/>
              <w:rPr>
                <w:b/>
                <w:bCs/>
                <w:color w:val="000000"/>
              </w:rPr>
            </w:pPr>
            <w:r w:rsidRPr="008C3489">
              <w:rPr>
                <w:b/>
                <w:bCs/>
                <w:color w:val="000000"/>
                <w:sz w:val="22"/>
                <w:szCs w:val="22"/>
              </w:rPr>
              <w:t>14365,30</w:t>
            </w:r>
          </w:p>
        </w:tc>
      </w:tr>
    </w:tbl>
    <w:p w:rsidR="00F25ED5" w:rsidRPr="00440E3F" w:rsidRDefault="00F25ED5" w:rsidP="00F25ED5">
      <w:pPr>
        <w:pStyle w:val="a3"/>
        <w:jc w:val="center"/>
        <w:outlineLvl w:val="0"/>
        <w:rPr>
          <w:b/>
          <w:bCs/>
        </w:rPr>
      </w:pPr>
    </w:p>
    <w:p w:rsidR="00F25ED5" w:rsidRPr="001279CD" w:rsidRDefault="00F25ED5" w:rsidP="00F25ED5">
      <w:pPr>
        <w:pStyle w:val="a3"/>
        <w:jc w:val="center"/>
        <w:outlineLvl w:val="0"/>
      </w:pPr>
      <w:r w:rsidRPr="001279CD">
        <w:rPr>
          <w:b/>
          <w:bCs/>
        </w:rPr>
        <w:t>ПРАВОТВОРЧЕСКАЯ ДЕЯТЕЛЬНОСТЬ</w:t>
      </w:r>
    </w:p>
    <w:p w:rsidR="00F25ED5" w:rsidRPr="001279CD" w:rsidRDefault="00F25ED5" w:rsidP="00F25ED5">
      <w:pPr>
        <w:pStyle w:val="a3"/>
        <w:jc w:val="center"/>
      </w:pPr>
      <w:r w:rsidRPr="001279CD">
        <w:t> </w:t>
      </w:r>
    </w:p>
    <w:p w:rsidR="00F25ED5" w:rsidRPr="001279CD" w:rsidRDefault="00F25ED5" w:rsidP="00F25ED5">
      <w:pPr>
        <w:pStyle w:val="text"/>
      </w:pPr>
      <w:r w:rsidRPr="001279CD">
        <w:t>Деятельность Думы Тернейского муниципального района в 201</w:t>
      </w:r>
      <w:r>
        <w:t xml:space="preserve">6 </w:t>
      </w:r>
      <w:r w:rsidRPr="001279CD">
        <w:t>году определялась необходимостью выполнения основных задач, заключающихся в сохранении социально-экономической стабильности, укреплении доверия населения к власти, повышении её гражданской активности.</w:t>
      </w:r>
    </w:p>
    <w:p w:rsidR="00F25ED5" w:rsidRPr="00440E3F" w:rsidRDefault="00F25ED5" w:rsidP="00F25ED5">
      <w:pPr>
        <w:pStyle w:val="text"/>
      </w:pPr>
      <w:r w:rsidRPr="00440E3F">
        <w:t xml:space="preserve">В сфере социальной политике по-прежнему оставались актуальными вопросы улучшения качества жизни населения и сохранения финансирования всех социально значимых позиций: развитие образования в Тернейском муниципальном районе,  мер по стабилизации демографической ситуации, поддержке семьи. </w:t>
      </w:r>
    </w:p>
    <w:p w:rsidR="00F25ED5" w:rsidRPr="00440E3F" w:rsidRDefault="00F25ED5" w:rsidP="00F25ED5">
      <w:pPr>
        <w:pStyle w:val="text"/>
      </w:pPr>
      <w:r w:rsidRPr="00440E3F">
        <w:t xml:space="preserve">Совершенствовалось правовое регулирование финансово-экономической сферы с целью создания условий для стимулирования экономики, развития межбюджетных отношений, усиления </w:t>
      </w:r>
      <w:proofErr w:type="gramStart"/>
      <w:r w:rsidRPr="00440E3F">
        <w:t>контроля за</w:t>
      </w:r>
      <w:proofErr w:type="gramEnd"/>
      <w:r w:rsidRPr="00440E3F">
        <w:t xml:space="preserve"> целевым использованием бюджетных средств. </w:t>
      </w:r>
    </w:p>
    <w:p w:rsidR="00F25ED5" w:rsidRDefault="00F25ED5" w:rsidP="00F25ED5">
      <w:pPr>
        <w:pStyle w:val="text"/>
      </w:pPr>
      <w:r w:rsidRPr="00440E3F">
        <w:t xml:space="preserve">Продолжалась работа по актуальным проблемам в различных областях правового регулирования, отнесенных к полномочиям Думы Тернейского муниципального района, а также по организации </w:t>
      </w:r>
      <w:proofErr w:type="gramStart"/>
      <w:r w:rsidRPr="00440E3F">
        <w:t>контроля за</w:t>
      </w:r>
      <w:proofErr w:type="gramEnd"/>
      <w:r w:rsidRPr="00440E3F">
        <w:t xml:space="preserve"> исполнением нормативно-правовых актов, приведению их в соответствие с федеральным и краевым законодательством. Кроме того, реализовывалось право на участие в правотворчестве на краевом уровне в форме внесения в Законодательное Собрание Приморского края законодательных инициатив, а также направления обращений в федеральные и краевые органы государственной власти по актуальным для населения Тернейского района вопросам.</w:t>
      </w:r>
    </w:p>
    <w:p w:rsidR="00F25ED5" w:rsidRDefault="00F25ED5" w:rsidP="00F25ED5">
      <w:pPr>
        <w:pStyle w:val="text"/>
        <w:jc w:val="center"/>
        <w:rPr>
          <w:b/>
        </w:rPr>
      </w:pPr>
    </w:p>
    <w:p w:rsidR="00F25ED5" w:rsidRDefault="00F25ED5" w:rsidP="00F25ED5">
      <w:pPr>
        <w:pStyle w:val="text"/>
        <w:jc w:val="center"/>
        <w:rPr>
          <w:b/>
        </w:rPr>
      </w:pPr>
      <w:r>
        <w:rPr>
          <w:b/>
        </w:rPr>
        <w:t>ОРГАНИЗАЦИОННАЯ РАБОТА</w:t>
      </w:r>
    </w:p>
    <w:p w:rsidR="00F25ED5" w:rsidRDefault="00F25ED5" w:rsidP="00F25ED5">
      <w:pPr>
        <w:pStyle w:val="text"/>
        <w:jc w:val="center"/>
        <w:rPr>
          <w:b/>
        </w:rPr>
      </w:pPr>
    </w:p>
    <w:p w:rsidR="00F25ED5" w:rsidRPr="00522239" w:rsidRDefault="00F25ED5" w:rsidP="00F25ED5">
      <w:pPr>
        <w:pStyle w:val="text"/>
      </w:pPr>
      <w:r w:rsidRPr="00522239">
        <w:t>Обеспечением деятельности Думы занимался аппарат Думы. Аппаратом Думы также были подготовлены для рассмотрения и принятия нормативные муниципальные правовые акты, касающиеся деятельности представительного органа и антикоррупционной составляющей. Всего аппаратом Думы было подготовлено к рассмотрению 45 нормативных правовых и правовых актов.</w:t>
      </w:r>
    </w:p>
    <w:p w:rsidR="00F25ED5" w:rsidRPr="00522239" w:rsidRDefault="00F25ED5" w:rsidP="00F25ED5">
      <w:pPr>
        <w:pStyle w:val="text"/>
      </w:pPr>
      <w:proofErr w:type="gramStart"/>
      <w:r w:rsidRPr="00522239">
        <w:t xml:space="preserve">В 2016 году ряды депутатского корпуса Думы покинули депутаты – </w:t>
      </w:r>
      <w:proofErr w:type="spellStart"/>
      <w:r w:rsidRPr="00522239">
        <w:t>Блошенкова</w:t>
      </w:r>
      <w:proofErr w:type="spellEnd"/>
      <w:r w:rsidRPr="00522239">
        <w:t xml:space="preserve"> Т.А., </w:t>
      </w:r>
      <w:proofErr w:type="spellStart"/>
      <w:r w:rsidRPr="00522239">
        <w:t>Королюк</w:t>
      </w:r>
      <w:proofErr w:type="spellEnd"/>
      <w:r w:rsidRPr="00522239">
        <w:t xml:space="preserve"> В.А. и Каханов В.В.. Поэтому Думой были назначены дополнительные выборы депутатов по избирательным №№ 1, 4 и 5 и в сентябре месяце депутатами Думы были избраны – Солодун Л.В., Гончаренко А.Л. и Тухбатулин Г.А.</w:t>
      </w:r>
      <w:bookmarkStart w:id="1" w:name="__RefHeading__32_1894185907"/>
      <w:bookmarkStart w:id="2" w:name="__RefHeading__34_1894185907"/>
      <w:bookmarkEnd w:id="1"/>
      <w:bookmarkEnd w:id="2"/>
      <w:proofErr w:type="gramEnd"/>
    </w:p>
    <w:p w:rsidR="00F25ED5" w:rsidRPr="00455190" w:rsidRDefault="00F25ED5" w:rsidP="00F25ED5">
      <w:pPr>
        <w:pStyle w:val="text"/>
        <w:rPr>
          <w:color w:val="FF0000"/>
        </w:rPr>
      </w:pPr>
    </w:p>
    <w:p w:rsidR="00F25ED5" w:rsidRPr="00440E3F" w:rsidRDefault="00F25ED5" w:rsidP="00F25ED5">
      <w:pPr>
        <w:pStyle w:val="a3"/>
        <w:jc w:val="center"/>
        <w:outlineLvl w:val="0"/>
        <w:rPr>
          <w:b/>
          <w:bCs/>
        </w:rPr>
      </w:pPr>
      <w:r w:rsidRPr="00440E3F">
        <w:rPr>
          <w:b/>
          <w:bCs/>
        </w:rPr>
        <w:t>ЗАКЛЮЧЕНИЕ</w:t>
      </w:r>
    </w:p>
    <w:p w:rsidR="00F25ED5" w:rsidRPr="00440E3F" w:rsidRDefault="00F25ED5" w:rsidP="00F25ED5">
      <w:pPr>
        <w:pStyle w:val="a3"/>
        <w:jc w:val="both"/>
        <w:outlineLvl w:val="0"/>
        <w:rPr>
          <w:b/>
          <w:bCs/>
        </w:rPr>
      </w:pPr>
    </w:p>
    <w:p w:rsidR="00F25ED5" w:rsidRPr="00440E3F" w:rsidRDefault="00F25ED5" w:rsidP="00F25ED5">
      <w:pPr>
        <w:pStyle w:val="text"/>
      </w:pPr>
      <w:r w:rsidRPr="00440E3F">
        <w:t xml:space="preserve">Одним из приоритетных направлений в работе депутатов Думы, является работа с избирателями, их информированием. </w:t>
      </w:r>
    </w:p>
    <w:p w:rsidR="00F25ED5" w:rsidRPr="00440E3F" w:rsidRDefault="00F25ED5" w:rsidP="00F25ED5">
      <w:pPr>
        <w:pStyle w:val="text"/>
      </w:pPr>
      <w:r w:rsidRPr="00440E3F">
        <w:t>По вопросам местного значения Думой проводились публичные и общественные слушания. Все принятые Думой решения опубликованы в местной газете «Вестник Тернея».</w:t>
      </w:r>
    </w:p>
    <w:p w:rsidR="00F25ED5" w:rsidRPr="00440E3F" w:rsidRDefault="00F25ED5" w:rsidP="00F25ED5">
      <w:pPr>
        <w:pStyle w:val="text"/>
      </w:pPr>
      <w:r w:rsidRPr="00440E3F">
        <w:t>В открытом доступе, на официальном сайте администрации Тернейского муниципального района,  доступна информация о принятых Думой решениях.</w:t>
      </w:r>
    </w:p>
    <w:p w:rsidR="00F25ED5" w:rsidRPr="00440E3F" w:rsidRDefault="00F25ED5" w:rsidP="00F25ED5">
      <w:pPr>
        <w:pStyle w:val="text"/>
      </w:pPr>
      <w:r>
        <w:lastRenderedPageBreak/>
        <w:t>В</w:t>
      </w:r>
      <w:r w:rsidRPr="00440E3F">
        <w:t xml:space="preserve"> районе действует депутатский центр. Все обращения граждан фиксируются и тщательно изучаются. В случае необходимости по ним проводится проверка. Ни одно обращение граждан, поступившее в адрес Думы, не осталось без внимания депутатов. </w:t>
      </w:r>
    </w:p>
    <w:p w:rsidR="00011656" w:rsidRDefault="00011656"/>
    <w:sectPr w:rsidR="00011656" w:rsidSect="0014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9F7"/>
    <w:multiLevelType w:val="hybridMultilevel"/>
    <w:tmpl w:val="5570172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11656"/>
    <w:rsid w:val="00011656"/>
    <w:rsid w:val="0014128F"/>
    <w:rsid w:val="00211091"/>
    <w:rsid w:val="002A0B0B"/>
    <w:rsid w:val="00516384"/>
    <w:rsid w:val="00651DA9"/>
    <w:rsid w:val="00CF559B"/>
    <w:rsid w:val="00F25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F25ED5"/>
    <w:pPr>
      <w:ind w:firstLine="709"/>
      <w:jc w:val="both"/>
    </w:pPr>
  </w:style>
  <w:style w:type="paragraph" w:styleId="a3">
    <w:name w:val="Normal (Web)"/>
    <w:basedOn w:val="a"/>
    <w:rsid w:val="00F25ED5"/>
  </w:style>
  <w:style w:type="paragraph" w:styleId="a4">
    <w:name w:val="Body Text"/>
    <w:basedOn w:val="a"/>
    <w:link w:val="a5"/>
    <w:rsid w:val="00F25ED5"/>
    <w:pPr>
      <w:spacing w:after="120"/>
    </w:pPr>
  </w:style>
  <w:style w:type="character" w:customStyle="1" w:styleId="a5">
    <w:name w:val="Основной текст Знак"/>
    <w:basedOn w:val="a0"/>
    <w:link w:val="a4"/>
    <w:rsid w:val="00F25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25E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25E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F25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1811</Words>
  <Characters>10323</Characters>
  <Application>Microsoft Office Word</Application>
  <DocSecurity>0</DocSecurity>
  <Lines>86</Lines>
  <Paragraphs>24</Paragraphs>
  <ScaleCrop>false</ScaleCrop>
  <Company/>
  <LinksUpToDate>false</LinksUpToDate>
  <CharactersWithSpaces>12110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7</cp:revision>
  <dcterms:created xsi:type="dcterms:W3CDTF">2017-05-30T04:13:00Z</dcterms:created>
  <dcterms:modified xsi:type="dcterms:W3CDTF">2017-05-30T23:33:00Z</dcterms:modified>
</cp:coreProperties>
</file>