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  <w:t>Доклад о состоянии и развитии конкурентной среды</w:t>
      </w:r>
    </w:p>
    <w:p>
      <w:pPr>
        <w:pStyle w:val="Normal"/>
        <w:spacing w:lineRule="auto" w:line="276" w:before="0" w:after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  <w:t xml:space="preserve">на рынках товаров, работ и услуг Тернейского муниципального округа Приморского края </w:t>
      </w:r>
    </w:p>
    <w:p>
      <w:pPr>
        <w:pStyle w:val="Normal"/>
        <w:spacing w:lineRule="auto" w:line="276" w:before="0" w:after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  <w:t>за 2023 год</w:t>
      </w:r>
    </w:p>
    <w:p>
      <w:pPr>
        <w:pStyle w:val="Normal"/>
        <w:spacing w:lineRule="auto" w:line="276" w:before="0" w:after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cs="Times New Roman,Bold" w:ascii="Times New Roman,Bold" w:hAnsi="Times New Roman,Bold"/>
          <w:b/>
          <w:bCs/>
          <w:sz w:val="32"/>
          <w:szCs w:val="32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  <w:t>в Тернейском муниципальном округе Приморского края.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1.1.</w:t>
      </w:r>
      <w:r>
        <w:rPr>
          <w:rFonts w:cs="Times New Roman" w:ascii="Times New Roman" w:hAnsi="Times New Roman"/>
          <w:sz w:val="28"/>
          <w:szCs w:val="28"/>
        </w:rPr>
        <w:t xml:space="preserve"> Решение Главы муниципального образования о внедрении стандарта развития конкуренции в муниципальном образовании (далее – Стандарт).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Постановление Администрации Тернейского муниципального района от 27.11.2019 № 563 «Об утверждении плана мероприятий («Дорожной карты») по содействию развитию конкуренции, развитию конкурентной среды в Тернейском муниципальном районе (в ред. От 06.10.2020 № 600, от 12.07.2022 № 740)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Style w:val="-"/>
          <w:rFonts w:cs="Times New Roman,Italic" w:ascii="Times New Roman,Italic" w:hAnsi="Times New Roman,Italic"/>
          <w:iCs/>
          <w:sz w:val="28"/>
          <w:szCs w:val="28"/>
        </w:rPr>
        <w:t>https://terneyokrug.gosuslugi.ru/deyatelnost/napravleniya-deyatelnosti/biznes-predprinimatelstvo/razvitie-konkurentsii/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,Italic" w:ascii="Times New Roman,Italic" w:hAnsi="Times New Roman,Italic"/>
          <w:b/>
          <w:iCs/>
          <w:sz w:val="28"/>
          <w:szCs w:val="28"/>
        </w:rPr>
        <w:t>1.2.</w:t>
      </w:r>
      <w:r>
        <w:rPr>
          <w:rFonts w:cs="Times New Roman,Italic" w:ascii="Times New Roman,Italic" w:hAnsi="Times New Roman,Italic"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Сведения об источниках финансовых средств, используемых для достижения целей Стандарта.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Источниками финансовых средств для реализации мероприятий «Дорожной карты» являются бюджеты Правительства Приморского края в размере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148,29</w:t>
      </w:r>
      <w:r>
        <w:rPr>
          <w:rFonts w:cs="Times New Roman" w:ascii="Times New Roman" w:hAnsi="Times New Roman"/>
          <w:sz w:val="28"/>
          <w:szCs w:val="28"/>
        </w:rPr>
        <w:t xml:space="preserve"> млн. рублей и Тернейского муниципального округа –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19,63</w:t>
      </w:r>
      <w:r>
        <w:rPr>
          <w:rFonts w:cs="Times New Roman" w:ascii="Times New Roman" w:hAnsi="Times New Roman"/>
          <w:sz w:val="28"/>
          <w:szCs w:val="28"/>
        </w:rPr>
        <w:t xml:space="preserve">млн. рублей.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1.3.</w:t>
      </w:r>
      <w:r>
        <w:rPr>
          <w:rFonts w:cs="Times New Roman" w:ascii="Times New Roman" w:hAnsi="Times New Roman"/>
          <w:sz w:val="28"/>
          <w:szCs w:val="28"/>
        </w:rPr>
        <w:t xml:space="preserve"> Информация об определенном в органе местного самоуправления должностного лица с правом принятия управленческих решений, ответственного за координацию вопросов содействия развитию конкуренции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,Italic" w:ascii="Times New Roman,Italic" w:hAnsi="Times New Roman,Italic"/>
          <w:iCs/>
          <w:sz w:val="28"/>
          <w:szCs w:val="28"/>
        </w:rPr>
        <w:t>Науменко Евгений Владимирович, Начальник отдела экономики и планирования Администрации Тернейского муниципального округа;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b/>
          <w:iCs/>
          <w:sz w:val="28"/>
          <w:szCs w:val="28"/>
        </w:rPr>
        <w:t>1.4.</w:t>
      </w:r>
      <w:r>
        <w:rPr>
          <w:rFonts w:cs="Times New Roman,Italic" w:ascii="Times New Roman,Italic" w:hAnsi="Times New Roman,Italic"/>
          <w:iCs/>
          <w:sz w:val="28"/>
          <w:szCs w:val="28"/>
        </w:rPr>
        <w:t xml:space="preserve">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- Отдел экономики и планирования Администрации Тернейского муниципального округа;</w:t>
      </w:r>
    </w:p>
    <w:p>
      <w:pPr>
        <w:sectPr>
          <w:type w:val="nextPage"/>
          <w:pgSz w:w="11906" w:h="16838"/>
          <w:pgMar w:left="1418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76" w:before="0" w:after="0"/>
        <w:ind w:firstLine="709"/>
        <w:jc w:val="both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cs="Times New Roman,Bold" w:ascii="Times New Roman,Bold" w:hAnsi="Times New Roman,Bold"/>
          <w:bCs/>
          <w:sz w:val="28"/>
          <w:szCs w:val="28"/>
        </w:rPr>
        <w:t>- Постановление Администрации Тернейского муниципального района от 27.11.2019 № 563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</w:t>
      </w:r>
      <w:r>
        <w:rPr>
          <w:rFonts w:cs="Times New Roman" w:ascii="Times New Roman" w:hAnsi="Times New Roman"/>
          <w:sz w:val="28"/>
          <w:szCs w:val="28"/>
        </w:rPr>
        <w:t xml:space="preserve"> Сведения о заключенном соглашении по внедрению Стандарта между департаментом экономики и развития предпринимательства Приморского края и органом местного самоуправления.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Приводится информация: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- даты заключения соглашения 02.08.2019 (доп. соглашение от 07.09.2020, 25.02.2022)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Style w:val="-"/>
          <w:rFonts w:cs="Times New Roman,Italic" w:ascii="Times New Roman,Italic" w:hAnsi="Times New Roman,Italic"/>
          <w:iCs/>
          <w:sz w:val="28"/>
          <w:szCs w:val="28"/>
        </w:rPr>
        <w:t>https://terneyokrug.gosuslugi.ru/deyatelnost/napravleniya-deyatelnosti/biznes-predprinimatelstvo/razvitie-konkurentsii/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2.2. </w:t>
      </w:r>
      <w:r>
        <w:rPr>
          <w:rFonts w:cs="Times New Roman" w:ascii="Times New Roman" w:hAnsi="Times New Roman"/>
          <w:sz w:val="28"/>
          <w:szCs w:val="28"/>
        </w:rPr>
        <w:t>Сведения об участии в отчетном периоде (1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4.04.2023,22</w:t>
      </w:r>
      <w:r>
        <w:rPr>
          <w:rFonts w:cs="Times New Roman,Italic" w:ascii="Times New Roman,Italic" w:hAnsi="Times New Roman,Italic"/>
          <w:iCs/>
          <w:sz w:val="28"/>
          <w:szCs w:val="28"/>
          <w:shd w:fill="auto" w:val="clear"/>
        </w:rPr>
        <w:t>.12.2023)</w:t>
      </w:r>
      <w:r>
        <w:rPr>
          <w:rFonts w:cs="Times New Roman,Italic" w:ascii="Times New Roman,Italic" w:hAnsi="Times New Roman,Italic"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обучающих мероприятиях, проводимых Министерством экономического развития Приморского края в режиме видеоконференцсвязи по вопросам содействия развитию конкуренции.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  <w:shd w:fill="auto" w:val="clear"/>
        </w:rPr>
        <w:t>14.04.2023</w:t>
      </w:r>
      <w:r>
        <w:rPr>
          <w:rFonts w:cs="Times New Roman,Italic" w:ascii="Times New Roman,Italic" w:hAnsi="Times New Roman,Italic"/>
          <w:iCs/>
          <w:sz w:val="28"/>
          <w:szCs w:val="28"/>
        </w:rPr>
        <w:t xml:space="preserve"> участие Науменко Е.В. – начальник отдела экономики и планирования, А.Е. Курчинская - главный специалист отдела экономики и планирования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  <w:shd w:fill="auto" w:val="clear"/>
        </w:rPr>
        <w:t>22.12.2023</w:t>
      </w:r>
      <w:r>
        <w:rPr>
          <w:rFonts w:cs="Times New Roman,Italic" w:ascii="Times New Roman,Italic" w:hAnsi="Times New Roman,Italic"/>
          <w:iCs/>
          <w:sz w:val="28"/>
          <w:szCs w:val="28"/>
        </w:rPr>
        <w:t xml:space="preserve"> участие А.Е. Курчинская - главный специалист отдела экономики и планирования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  <w:r>
        <w:rPr>
          <w:rFonts w:cs="Times New Roman,Italic" w:ascii="Times New Roman,Italic" w:hAnsi="Times New Roman,Italic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2.3.</w:t>
      </w:r>
      <w:r>
        <w:rPr>
          <w:rFonts w:cs="Times New Roman" w:ascii="Times New Roman" w:hAnsi="Times New Roman"/>
          <w:sz w:val="28"/>
          <w:szCs w:val="28"/>
        </w:rPr>
        <w:t xml:space="preserve">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Указывается: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- Совет по улучшению инвестиционного климата и развитию предпринимательства в Тернейском муниципальном округе;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- Постановление Администрации Тернейского муниципального района от 15.05.2019 года № 259 «О создании Совета по улучшению инвестиционного климата и развитию предпринимательства в Тернейском муниципальном районе» (в ред пост. От 30.10.2019 № 514);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Style w:val="-"/>
          <w:rFonts w:cs="Times New Roman,Italic" w:ascii="Times New Roman,Italic" w:hAnsi="Times New Roman,Italic"/>
          <w:iCs/>
          <w:sz w:val="28"/>
          <w:szCs w:val="28"/>
        </w:rPr>
        <w:t>https://terneyokrug.gosuslugi.ru/deyatelnost/napravleniya-deyatelnosti/investitsionnaya-deyatelnost/sovet-po-predprinimatelstvu/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hyperlink r:id="rId2">
        <w:r>
          <w:rPr>
            <w:rStyle w:val="-"/>
            <w:rFonts w:cs="Times New Roman,Italic" w:ascii="Times New Roman,Italic" w:hAnsi="Times New Roman,Italic"/>
            <w:iCs/>
            <w:sz w:val="28"/>
            <w:szCs w:val="28"/>
          </w:rPr>
          <w:t>https://primorsky.ru/authorities/local-government/terneisky/structure/economiks/514%20о%20внес.%20изм.%20в%20259-19%20Свовет%20по%20разв.пред-ва.rtf</w:t>
        </w:r>
      </w:hyperlink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- Администрация Тернейского муниципального округаа, Дума Тернейского муниципального района, ООО АиМ, ОАО Импульс, Индивидуальные предприниматели, ООО Кристал, Тернейский РЫБКООП;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- Протокол № 1 от 27.01.2023; Протокол № 2 от 28.03.2023; протокол № 3 от 21.04.2023; протокол № 4 от 07.07.2023; протокол № 5 от 06.10.2023; протокол № 6 от 21.12.2023.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Style w:val="-"/>
          <w:rFonts w:cs="Times New Roman,Italic" w:ascii="Times New Roman,Italic" w:hAnsi="Times New Roman,Italic"/>
          <w:iCs/>
          <w:sz w:val="28"/>
          <w:szCs w:val="28"/>
        </w:rPr>
        <w:t>https://terneyokrug.gosuslugi.ru/deyatelnost/napravleniya-deyatelnosti/investitsionnaya-deyatelnost/sovet-po-predprinimatelstvu/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2.4. </w:t>
      </w:r>
      <w:r>
        <w:rPr>
          <w:rFonts w:cs="Times New Roman" w:ascii="Times New Roman" w:hAnsi="Times New Roman"/>
          <w:sz w:val="28"/>
          <w:szCs w:val="28"/>
        </w:rPr>
        <w:t>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2.4.1.</w:t>
      </w:r>
      <w:r>
        <w:rPr>
          <w:rFonts w:cs="Times New Roman" w:ascii="Times New Roman" w:hAnsi="Times New Roman"/>
          <w:sz w:val="28"/>
          <w:szCs w:val="28"/>
        </w:rPr>
        <w:t xml:space="preserve"> Результаты анализа ситуации на утвержденных товарных рынках для содействия развитию конкуренции в муниципальном образовании.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Рынок теплоснабжения (производство тепловой энергии)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Тернейского муниципального округа деятельность по производству тепловой энергии осуществляют 2 частные организации и 2 муниципальные. Доля хозяйствующих субъектов частной формы собственности составляет 50%. Реализация мероприятий по содействию развития конкуренции на данном рынке направлена на повышение качества услуг по предоставлению тепловой энергии.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2023 году реализованы мероприятия на сумму 8,46 млн.руб.: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капитальный ремонт теплотрассы котельной № 9 в п. Терней от тепловой камеры № 2 до тепловой камеры № 6, от тепловой камеры № 8 до ввода в жилой дом № 8 по ул. Тернейская.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капитальный ремонт котельной № 2 в п.Терней (замена котла).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i/>
          <w:sz w:val="28"/>
          <w:szCs w:val="28"/>
          <w:shd w:fill="FFFF00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Рынок выполнения работ по благоустройству городской среды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2023 году в рамках реализации приоритетного проекта «Формирование комфортной городской среды» в Тернейском муниципальном округе выполнены работы по благоустройству общественных пространств и придомовых территорий на территориях городских поселений округа.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Выполнение работ осуществлялось по итогам проведения торгов, в соответствии с Федеральным законом от 05.04.2013 №44-ФЗ «О контрактной системе в сфере закупок товаров, работ услуг для обеспечения государственных и муниципальных нужд», по результатам торгов привлечено 3 организации частной формы собственности. Доля организаций частной формы собственности в сфере выполнения работ по благоустройству городской среды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2023 году реализованы следующие мероприятия на сумму 14,02</w:t>
      </w:r>
      <w:r>
        <w:rPr>
          <w:rFonts w:cs="Times New Roman" w:ascii="Times New Roman" w:hAnsi="Times New Roman"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млн.руб.: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 благоустройству дворовых территорий: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пгт. Пластун, ул. Лермонтова д. 14, 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пгт. Пластун,  ул. Третий квартал д. 4, 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Общественные территории: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пгт. Терней ул. Есенина д. 2 а (детская площадка).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парковая зона, пгт. Терней ул. Партизанская д. 70.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i/>
          <w:sz w:val="28"/>
          <w:szCs w:val="28"/>
          <w:shd w:fill="FFFF00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 территории Тернейского муниципального округа деятельность по управлению многоквартирными домами осуществляют 3 управляющих организаций различных форм собственности, одна муниципальная управляющая компания, одна государственная, одна частная. Доля хозяйствующих субъектов частной формы собственности составляет 33,3%. Реализация мероприятий по содействию развития конкуренции на данном рынке направлена на развитие уровня конкурентных отношений.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2023 году при участии 2 субъектов СМП выполнены работы по капитальному ремонту муниципального жилищного фонда на общую сумму 2 млн. рублей: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shd w:fill="auto" w:val="clear"/>
        </w:rPr>
        <w:t>- капитальный ремонт муниципального жилищного фонда в пгт. Пластун ул. 50 лет Октября д.2 кв.2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shd w:fill="auto" w:val="clear"/>
        </w:rPr>
        <w:t xml:space="preserve">- капитальный ремонт муниципального жилищного фонда в пгт. Терней ул. 30 лет Победы д. 9 кв. 1 д.22 кв.3 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shd w:fill="auto" w:val="clear"/>
        </w:rPr>
        <w:t>Ремонт муниципального жилищного фонда в с. Самарга.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состоянию на 01.01.2024 на территории Тернейского муниципального округа организации, оказывающих услуги по перевозке пассажиров автомобильным транспортом по муниципальным маршрутам регулярных перевозок, отсутствуют. В апреле 2020 года проводился открытый конкурс на право осуществления регулярных перевозок пассажиров и багажа по муниципальным маршрутам в границах Тернейского муниципального района. По результатам проведении открытого конкурса не подано ни одной заявки, в связи с этим конкурс признан несостоявшимся.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Рынок дорожной деятельности (за исключением проектирования)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Тернейского муниципального округа на рынке дорожной деятельности функционируют 3 предприятия частной формы собственности.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2023 году  на сумму 143,43 млн. рублей выполнены следующие мероприятия: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- Ремонт автомобильной дороги Амгу-Максимовка км 34-39.265 в Тернейском муниципальном округе Приморского края (ремонт мостов на км 34+400 км 35+300 км 37+270 км 38+200, труб на км 34+700, км 35+950, км 36+700, км 37+700, км 38+100).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Ремонт пешеходного тротуара по ул. Партизанская (в районе МКДОУ Детский сад № 1) в пгт. Терней Тернейского муниципального округа.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- Выполнены работы по устройству уличного освещения в пгт. Пластун, по установке уличного освещения в пгт. Терней.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- Содержание автомобильных дорог местного значения Тернейского муниципального округа (годичный контракт)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- Содержание тротуаров и пешеходных переходов в пгт. Терней и пгт. Пластун (годичный контракт)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- Произведен ремонт асфальтобетонного покрытия в населенных пунктах Пластун и Терней.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Разработана комплексная схемы организации дорожного движения Тернейского муниципального округа.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Рынок ритуальных услуг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По состоянию на 31.12.2023 на территории Тернейского муниципального округа действует 1 организация, оказывающих ритуальные услуги. Разработано положение об организации ритуальных услуг содержания мест захоронения на территории Тернейского муниципального округа. Заключены контракты по содержанию кладбищ.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00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2.4.2.</w:t>
      </w:r>
      <w:r>
        <w:rPr>
          <w:rFonts w:cs="Times New Roman" w:ascii="Times New Roman" w:hAnsi="Times New Roman"/>
          <w:sz w:val="28"/>
          <w:szCs w:val="28"/>
        </w:rPr>
        <w:t xml:space="preserve">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Всего 6 субъектов малого бизнеса приняло участие в опросе. Срок существования бизнеса у 66% более 5 лет. 46% субъектов считают, что для их рынка характерна умеренная конкуренция, высокая — 27%, 27% – слабая или нет конкурентов вовсе.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50% предпринимателей для повышения конкурентоспособности продукции, работ, услуг, которые они производят на территории Тернейского муниципального округа за последние 3 года приобрели техническое оборудование, а 50% разрабатывали новые способы продвижения продукции (маркетинговые стратегии).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67% респондентов удовлетворительно оценивают полноту и понятность размещенной органом исполнительной власти Приморского края,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Приморского края и деятельности по содействию развитию конкуренции.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83% указали, что источником информации о состоянии конкурентной среды на рынках товаров, работ и услуг Приморского края и деятельности по содействию развитию конкуренции предпочитают пользоваться официальной информацией, размещенной на сайте уполномоченного органа в информационно-телекоммуникационной сети "Интернет" и 33% предпочитают получать информацию, размещенную на официальных сайтах других исполнительных органов государственной власти Приморского края и органов местного самоуправления в информационно-телекоммуникационной сети "Интернет". Доверие к данным источникам составило 83%.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67% оценили удовлетворительно состояние конкуренции между поставщиками этого товара (работы, услуги) и 17% как неудовлетворительное. 17% воздержалось.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Предпринимательство считает, что одним из административных барьеров, являющимися наиболее существенными для ведения текущей деятельности или открытия нового бизнеса на рынке, основном для бизнеса, который они представляют являются: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50% - считают высокие налоги;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17% - Нестабильность российского законодательства, регулирующего предпринимательскую деятельность;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17% - коррупция;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17% - ограничений нет вообще.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67% удовлетворительно охарактеризовали деятельность органов власти на основном для бизнеса, который представляют респонденты, рынке. Остальные 17% - скорее не удовлетворительно и 17% - затрудняюсь ответить.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50% опрошенных на вопрос о преодолимости административных барьеров ответили, что административных барьеров нет, 17% - есть барьеры, преодолимые при осуществлении незначительных затрат, 17% - есть непреодолимые административные барьеры.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50% опрошенных считают, что за последние 3 года бизнесу стало проще преодолевать административные барьеры, 33% - административные барьеры отсутствуют, как и ранее и 77% - уровень и количество административных барьеров не изменились.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83% за 2023 и последние три года в надзорные органы по каким-либо причинам не обращались, у одного - вопрос завис на стадии рассмотрения.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2.4.3.</w:t>
      </w:r>
      <w:r>
        <w:rPr>
          <w:rFonts w:cs="Times New Roman" w:ascii="Times New Roman" w:hAnsi="Times New Roman"/>
          <w:sz w:val="28"/>
          <w:szCs w:val="28"/>
        </w:rPr>
        <w:t xml:space="preserve"> Результаты мониторинга удовлетворенности потребителей качеством товаров, работ и услуг на рынках муниципального образования и состоянием ценовой конкуренции (с указанием числа респондентов, участвующих в опросах по каждому рынку).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данном опросе 20 респондентов приняло участие, из них: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87,5 % работающие, 12,5% пенсионеры;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31% - мужчины, 69% - женщины;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Рынок со слаборазвитой конкуренцией*: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*(Чем выше процент, тем больше потребители не удовлетворены качеством товаров, работ и услуг)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/>
          <w:i/>
          <w:sz w:val="28"/>
          <w:szCs w:val="28"/>
          <w:shd w:fill="auto" w:val="clear"/>
        </w:rPr>
        <w:t>ЖКХ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электроэнергии – 50%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по выполнению работ по благоустройству городской среды – 19%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по сбору и транспортированию твердых коммунальных отходов – 20%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по выполнению работ по содержанию и текущему ремонту общего имущества собственников помещений в многоквартирном доме – 40%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поставки сжиженного газа в баллонах – 80%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теплоснабжения – 10%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i/>
          <w:sz w:val="28"/>
          <w:szCs w:val="28"/>
          <w:shd w:fill="FFFF00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ОБРАЗОВАНИЕ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психолого-педагогического сопровождения детей с ограниченными возможностями здоровья – 50%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дополнительного образования детей – 31%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общего образования – 50%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дошкольного образования – 12,5%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среднего профессионального образования – 33,3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детского отдыха и оздоровления – 50%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ТРАНСПОРТ И ДОРОЖНОЕ ХОЗЯЙСТВО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дорожной деятельности (за исключением проектирования) – 80%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оказания услуг по перевозке пассажиров автомобильным транспортом по муниципальным маршрутам регулярных перевозок – 40%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оказания услуг по перевозке пассажиров автомобильным транспортом по межмуниципальным маршрутам регулярных перевозок – 31%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i/>
          <w:sz w:val="28"/>
          <w:szCs w:val="28"/>
          <w:shd w:fill="FFFF00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СТРОИТЕЛЬСТВО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жилищного строительства –40%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строительства объектов капитального строительства, за исключением жилищного и дорожного строительства – 45%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архитектурно-строительного проектирования – 50%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кадастровых и землеустроительных работ – 50%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Рынки по производству кирпича и бетона – 50%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СЕЛЬСКОЕ, РЫБНОЕ И ЛЕСНОЕ ХОЗЯЙСТВО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племенного животноводства – 56,25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семеноводства – 56,25%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вылова водных биоресурсов – 80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переработки водных биоресурсов – 69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товарной Аква культуры – 69%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обработки древесины и производства изделий из дерева – 56,25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i/>
          <w:sz w:val="28"/>
          <w:szCs w:val="28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МЕДИЦИНСКИЕ И СОЦИАЛЬНЫЕ УСЛУГИ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Медицинские услуги – 81%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Социальные услуги – 69%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Услуги розничной торговли лекарственными препаратами, медицинскими изделиями и сопутствующими товарами – 50%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i/>
          <w:sz w:val="28"/>
          <w:szCs w:val="28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ИНЫЕ СФЕРЫ УСЛУГ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добычи общераспространенных полезных ископаемых на участках недр местного значения – 12,5%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нефтепродуктов – 81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Рынок легкой промышленности – 40%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Сфера наружной рекламы – 12,5%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Ритуальные услуги- 50%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целом, по результату мониторинга удовлетворенности потребителей качеством товаров, работ и услуг на рынках Тернейского муниципального округа и состоянием ценовой конкуренции по итогам 2023 года, можно сделать</w:t>
      </w:r>
      <w:r>
        <w:rPr>
          <w:rFonts w:cs="Times New Roman" w:ascii="Times New Roman" w:hAnsi="Times New Roman"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вывод, что в Тернейском муниципального округе практически на всех рынках, особенно на социально значимых, слаба развита конкуренция, что говорит о том ,что население ощущает недостаток предложений в сфере услуг.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2.4.4.</w:t>
      </w:r>
      <w:r>
        <w:rPr>
          <w:rFonts w:cs="Times New Roman" w:ascii="Times New Roman" w:hAnsi="Times New Roman"/>
          <w:sz w:val="28"/>
          <w:szCs w:val="28"/>
        </w:rPr>
        <w:t xml:space="preserve">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муниципального образования и деятельности по содействию развитию конкуренции, размещаемой на официальном сайте муниципального образования.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17% опрошенных предпринимателей Тернейского муниципального округа считают недостаточно доступной информацией о поддержке и программах малого и среднего предпринимательства, размещаемой на официальном сайте уполномоченного органа (раздел «Развитие конкуренции» на странице Минэкономразвития Приморья сайта Правительства Приморского края) и на сайте муниципального образования (раздел «Развитие конкуренции» на официальном сайте муниципального образования).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2.4.5.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Результаты мониторинга деятельности хозяйствующих субъектов, доля участия муниципального образования в которых составляет 50 и более процентов.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Администрация Тернейского муниципального округа является учредителем 28 казенных 2 унитарных учреждений. За 2023 год суммарный объем финансирования из бюджетов Приморская края и Тернейского муниципального округа составил 502 183,93 тыс. рублей.</w:t>
      </w:r>
      <w:r>
        <w:rPr>
          <w:rFonts w:cs="Times New Roman" w:ascii="Times New Roman" w:hAnsi="Times New Roman"/>
          <w:sz w:val="28"/>
          <w:szCs w:val="28"/>
          <w:shd w:fill="FFFF00" w:val="clear"/>
        </w:rPr>
        <w:t xml:space="preserve"> 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Общеобразовательные учреждения в отчетном периоде профинансированы на 251141,35 тыс. рублей. Общеобразовательной услугой воспользовались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12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21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ребенка, при этом большая доля полученной услуги приходится на МКОУ СОШ п. Пластун, которая составила 48,1 % от общей численности детей школьного возраста Тернейского муниципального округа. 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Объем финансирования учреждений дошкольной сферы составил в 2023 году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119963,69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тыс. рублей. Услугами дошкольных учреждений воспользовались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439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детей, большая часть которых (49%) из пгт. Пластун.</w:t>
      </w:r>
      <w:r>
        <w:rPr>
          <w:rFonts w:cs="Times New Roman" w:ascii="Times New Roman" w:hAnsi="Times New Roman"/>
          <w:sz w:val="28"/>
          <w:szCs w:val="28"/>
          <w:shd w:fill="FFFF00" w:val="clear"/>
        </w:rPr>
        <w:t xml:space="preserve"> 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Услугами дополнительного образования в 2023 году воспользовались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952</w:t>
      </w:r>
      <w:r>
        <w:rPr>
          <w:rFonts w:cs="Times New Roman" w:ascii="Times New Roman" w:hAnsi="Times New Roman"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детей. Финансирование учреждений дополнительного образования сформировалось только из местного бюджета Тернейского муниципального округа и составило 37648,78тыс. рублей.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2.4.6.-2.4.7.</w:t>
      </w:r>
      <w:r>
        <w:rPr>
          <w:rFonts w:cs="Times New Roman" w:ascii="Times New Roman" w:hAnsi="Times New Roman"/>
          <w:sz w:val="28"/>
          <w:szCs w:val="28"/>
        </w:rPr>
        <w:t xml:space="preserve"> Результаты мониторинга удовлетворенности и доступности для населения и субъектов малого и среднего предпринимательства финансовых услуг, оказываемых на территории Тернейского муниципального округа.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опросе о финансовой доступности для потребителей финансовых услуг приняло 10 респондентов (9 женщин и 1 мужчина), все которых работающие граждане. У 70% опрошенных высшее образование, при этом из них: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70% - Нам хватает на еду и одежду, но для покупки импортного холодильника или стиральной машины-автомат, нам пришлось бы копить или брать в долг/кредит; В соответствии с предыдущим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cs="Times New Roman" w:ascii="Times New Roman" w:hAnsi="Times New Roman"/>
          <w:i/>
          <w:sz w:val="28"/>
          <w:szCs w:val="28"/>
          <w:shd w:fill="auto" w:val="clear"/>
        </w:rPr>
        <w:t xml:space="preserve">Какими из перечисленных финансовых продуктов (услуг) Вы пользовались за последние 12 месяцев? / 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/>
          <w:sz w:val="28"/>
          <w:szCs w:val="28"/>
          <w:shd w:fill="auto" w:val="clear"/>
        </w:rPr>
        <w:t>Наиболее популярным ответом среди респондентов оказался **Банковский вклад**: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40% - Имеется сейчас;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50% - Не использовался за последние 12 месяцев.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По остальным финансовым продуктам почти 70% опрошенных ответили, что не имеют по причине отсутствия свободных денег.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i/>
          <w:sz w:val="28"/>
          <w:szCs w:val="28"/>
          <w:shd w:fill="FFFF00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/>
          <w:sz w:val="28"/>
          <w:szCs w:val="28"/>
          <w:shd w:fill="auto" w:val="clear"/>
        </w:rPr>
        <w:t>Какими из перечисленных финансовых продуктов (услуг) Вы пользовались за последние 12 месяцев?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70% воспользовались за последние 12 месяцев услугой «Онлайн-кредит»;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20% пользовались за последние 12 месяцев услугой «Использование кредитного лимита по кредитной карте»;</w:t>
      </w:r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>
          <w:rFonts w:eastAsia="Calibri" w:cs="" w:cstheme="minorBidi" w:eastAsiaTheme="minorHAnsi"/>
          <w:shd w:fill="FFFF00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/>
          <w:sz w:val="28"/>
          <w:szCs w:val="28"/>
          <w:shd w:fill="auto" w:val="clear"/>
        </w:rPr>
        <w:t>Какими из перечисленных платежных карт Вы пользовались за последние 12 месяцев?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shd w:fill="auto" w:val="clear"/>
        </w:rPr>
        <w:t xml:space="preserve">90%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опрошенных используют в основном «Зарплатную карту»;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60%  - кредитная карта.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90% опрошенных регулярно использовали в 2023 году дистанционный доступ к банковскому счету для различных операций. Данный показатель соответствует показателю за аналогичный период 2022года.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Практически все респонденты не пользуются услугами «Страхование», ввиду отсутствия доверия к страховщику, смысла и высокой стоимости страхового полиса.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Результаты проведенного исследования среди потребителей финансовых услуг Тернейского муниципального округа показали, что в целом население удовлетворено качеством предоставляемых услуг и доступностью к ним. Среди жителей округа наиболее популярны и доступны дистанционные финансовые услуги.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2.5.</w:t>
      </w:r>
      <w:r>
        <w:rPr>
          <w:rFonts w:cs="Times New Roman" w:ascii="Times New Roman" w:hAnsi="Times New Roman"/>
          <w:sz w:val="28"/>
          <w:szCs w:val="28"/>
        </w:rPr>
        <w:t xml:space="preserve"> Утверждение перечня товарных рынков.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Рынки, выбранные в соответствии с предложенным министерством экономического развития Приморского края Перечнем: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 xml:space="preserve"> </w:t>
      </w:r>
      <w:r>
        <w:rPr>
          <w:rFonts w:cs="Times New Roman,Italic" w:ascii="Times New Roman,Italic" w:hAnsi="Times New Roman,Italic"/>
          <w:iCs/>
          <w:sz w:val="28"/>
          <w:szCs w:val="28"/>
        </w:rPr>
        <w:t>- Рынок розничной торговли – Для повышения уровня конкурентоспособности, роста деловой активности, решения актуальных вопросов и проблем, возникающих в отрасли, а также удовлетворения спроса населения на потребительские товары и услуги за счет наличия сети магазинов шаговой доступности на территории Тернейского муниципального района;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- Рынок услуг розничной торговли лекарственными препаратами, медицинскими изделиями и сопутствующими товарами (только для муниципальных районов) - Повышение качества услуг в сфере розничной торговли лекарственными препаратами, медицинскими изделиями и сопутствующими товарами;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- Рынок теплоснабжения (производство тепловой энергии) - Обеспечении населения качественными услугами теплоснабжения на территории Тернейского муниципального округа;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- Рынок выполнения работ по благоустройству городской среды - сохранение сложившегося уровня конкурентных отношений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 xml:space="preserve">- Рынок дорожной деятельности (за исключением проектирования) - Для развития конкуренции и обеспечения равных условий на рынке услуг в сфере дорожной деятельности;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 xml:space="preserve"> </w:t>
      </w:r>
      <w:r>
        <w:rPr>
          <w:rFonts w:cs="Times New Roman,Italic" w:ascii="Times New Roman,Italic" w:hAnsi="Times New Roman,Italic"/>
          <w:iCs/>
          <w:sz w:val="28"/>
          <w:szCs w:val="28"/>
        </w:rPr>
        <w:t>- Рынок ритуальных услуг;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- Рынок выполнения работ по содержанию и текущему ремонту общего имущества собственников помещений в многоквартирном доме - Обеспечение контроля за соблюдением сроков объявления аукционов по выбору управляющих компаний;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cs="Times New Roman,Italic" w:ascii="Times New Roman,Italic" w:hAnsi="Times New Roman,Italic"/>
          <w:iCs/>
          <w:sz w:val="28"/>
          <w:szCs w:val="28"/>
        </w:rPr>
        <w:t>- Рынок оказания услуг по перевозке пассажиров автомобильным транспортом по муниципальным маршрутам регулярных перевозок - Обеспечение максимальной доступности информации и прозрачности условий работы на рынке пассажирских перевозок наземным транспортом.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,Italic" w:ascii="Times New Roman,Italic" w:hAnsi="Times New Roman,Italic"/>
          <w:iCs/>
          <w:sz w:val="28"/>
          <w:szCs w:val="28"/>
          <w:shd w:fill="auto" w:val="clear"/>
        </w:rPr>
        <w:t>Постановление Администрации Тернейского муниципального округа от 27.11.2019 № 563 «Об утверждении плана мероприятий («Дорожной карты») по содействию развитию конкуренции, развитию конкурентной среды в Тернейском муниципальном округе.</w:t>
      </w:r>
    </w:p>
    <w:p>
      <w:pPr>
        <w:pStyle w:val="Normal"/>
        <w:spacing w:lineRule="auto" w:line="276" w:before="0" w:after="0"/>
        <w:ind w:firstLine="709"/>
        <w:jc w:val="both"/>
        <w:rPr/>
      </w:pPr>
      <w:hyperlink r:id="rId3">
        <w:r>
          <w:rPr>
            <w:rStyle w:val="-"/>
            <w:rFonts w:eastAsia="Calibri" w:cs="" w:ascii="Times New Roman" w:hAnsi="Times New Roman" w:cstheme="minorBidi" w:eastAsiaTheme="minorHAnsi"/>
            <w:iCs/>
            <w:sz w:val="28"/>
            <w:szCs w:val="28"/>
            <w:shd w:fill="auto" w:val="clear"/>
          </w:rPr>
          <w:t>https://terneyokrug.gosuslugi.ru/deyatelnost/napravleniya-deyatelnosti/biznes-predprinimatelstvo/razvitie-konkurentsii/</w:t>
        </w:r>
      </w:hyperlink>
    </w:p>
    <w:p>
      <w:pPr>
        <w:pStyle w:val="Normal"/>
        <w:spacing w:lineRule="auto" w:line="276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2.6.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Утверждение плана мероприятий («дорожной карты»).</w:t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,Italic" w:ascii="Times New Roman,Italic" w:hAnsi="Times New Roman,Italic"/>
          <w:iCs/>
          <w:sz w:val="28"/>
          <w:szCs w:val="28"/>
          <w:shd w:fill="auto" w:val="clear"/>
        </w:rPr>
        <w:t>Постановление Администрации Тернейского муниципального района от 27.11.2019 № 563 «Об утверждении плана мероприятий («Дорожной карты») по содействию развитию конкуренции, развитию конкурентной среды в Тернейском муниципальном районе (в ред. постановления от 06.10.2020 года № 600, от 28.03.2022 № 325, от 12.07.2022 № 740)).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-"/>
          <w:rFonts w:eastAsia="Calibri" w:cs="" w:ascii="Times New Roman" w:hAnsi="Times New Roman" w:cstheme="minorBidi" w:eastAsiaTheme="minorHAnsi"/>
          <w:iCs/>
          <w:sz w:val="28"/>
          <w:szCs w:val="28"/>
          <w:shd w:fill="auto" w:val="clear"/>
        </w:rPr>
        <w:t>https://terneyokrug.gosuslugi.ru/deyatelnost/napravleniya-deyatelnosti/biznes-predprinimatelstvo/razvitie-konkurentsii/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  <w:highlight w:val="none"/>
          <w:shd w:fill="auto" w:val="clear"/>
        </w:rPr>
      </w:pPr>
      <w:r>
        <w:rPr>
          <w:rFonts w:cs="Times New Roman,Italic" w:ascii="Times New Roman,Italic" w:hAnsi="Times New Roman,Italic"/>
          <w:iCs/>
          <w:sz w:val="28"/>
          <w:szCs w:val="28"/>
          <w:shd w:fill="auto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2.7.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Подготовка ежегодного Доклада, подготовленного в соответствии с положениями Стандарта.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Style w:val="-"/>
          <w:rFonts w:cs="Times New Roman,Italic" w:ascii="Times New Roman,Italic" w:hAnsi="Times New Roman,Italic"/>
          <w:iCs/>
          <w:sz w:val="28"/>
          <w:szCs w:val="28"/>
          <w:shd w:fill="auto" w:val="clear"/>
        </w:rPr>
        <w:t>https://terneyokrug.gosuslugi.ru/deyatelnost/napravleniya-deyatelnosti/biznes-predprinimatelstvo/razvitie-konkurentsii/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,Italic" w:hAnsi="Times New Roman,Italic" w:cs="Times New Roman,Italic"/>
          <w:sz w:val="28"/>
          <w:szCs w:val="28"/>
          <w:highlight w:val="none"/>
          <w:shd w:fill="auto" w:val="clear"/>
        </w:rPr>
      </w:pPr>
      <w:r>
        <w:rPr>
          <w:rFonts w:cs="Times New Roman,Italic" w:ascii="Times New Roman,Italic" w:hAnsi="Times New Roman,Italic"/>
          <w:sz w:val="28"/>
          <w:szCs w:val="28"/>
          <w:shd w:fill="auto" w:val="clear"/>
        </w:rPr>
      </w:r>
    </w:p>
    <w:p>
      <w:pPr>
        <w:pStyle w:val="Normal"/>
        <w:spacing w:lineRule="auto" w:line="276" w:before="0"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В рамках деятельности по внедрению Стандарта на территории Тернейского муниципального округа в 20223году в муниципальном округе выполнены практически все требования Стандарта. При этом наилучшим образом в округе удалось реализовать следующие направления деятельности: 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•</w:t>
      </w:r>
      <w:r>
        <w:rPr>
          <w:rFonts w:cs="Times New Roman" w:ascii="Times New Roman" w:hAnsi="Times New Roman"/>
          <w:iCs/>
          <w:sz w:val="28"/>
          <w:szCs w:val="28"/>
        </w:rPr>
        <w:tab/>
        <w:t>в части реализации отдельных составляющих Стандарта: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- комплексно оценить потребительскую удовлетворенность качеством товаров и услуг на товарных рынках Тернейского муниципального округа и состоянием ценовой конкуренцией на них – по интегральным результатам опроса населения в Докладе сформулированы обоснованные выводы о состоянии конкурентной среды и ценовой конкуренции в муниципальном образовании с потребительской точки зрения. При этом полученные выводы связаны с конкуренцией на каждом отдельном и социально значимом рынке Тернейского муниципального округа, на основании которых у заинтересованных органов власти сформировано четкое представление о приоритетных направлениях содействию развитию конкуренции в соответствии с компетенцией. Репрезентативная выборка проведенного опроса, охватывающая жителей Тернейского муниципального округа, позволила экстраполировать выводы на всю генеральную совокупность;</w:t>
      </w:r>
    </w:p>
    <w:p>
      <w:pPr>
        <w:pStyle w:val="Normal"/>
        <w:spacing w:lineRule="auto" w:line="276" w:before="0"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- провести мониторинг деятельности хозяйствующих субъектов с муниципальным участием 50 и более процентов – по итогам в муниципалитете сформирован достаточно полный для проведения анализа роли государства на муниципальных рынках перечень муниципальных унитарных и казенных учреждений муниципального образования. На основании предоставленной структурными подразделениями Тернейского муниципального округа информации о хозяйственной деятельности подведомственных предприятий и организаций с учетом официальных статистических данных уполномоченным органом определены виды деятельности, в которых доля муниципального сектора наиболее существенна. </w:t>
      </w:r>
    </w:p>
    <w:p>
      <w:pPr>
        <w:pStyle w:val="Normal"/>
        <w:spacing w:lineRule="auto" w:line="240" w:before="0" w:after="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sz w:val="28"/>
          <w:szCs w:val="28"/>
          <w:shd w:fill="auto" w:val="clear"/>
        </w:rPr>
        <w:t>В 2023 году в Тернейском муниципальном округе осуществлялась реализация следующих системных мероприятий, направленных на развитие конкуренции:</w:t>
      </w:r>
    </w:p>
    <w:p>
      <w:pPr>
        <w:pStyle w:val="Normal"/>
        <w:pageBreakBefore w:val="false"/>
        <w:spacing w:lineRule="auto" w:line="240" w:before="0"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</w:r>
    </w:p>
    <w:tbl>
      <w:tblPr>
        <w:tblpPr w:bottomFromText="0" w:horzAnchor="margin" w:leftFromText="181" w:rightFromText="181" w:tblpX="0" w:tblpXSpec="center" w:tblpY="1" w:topFromText="0" w:vertAnchor="text"/>
        <w:tblW w:w="5000" w:type="pct"/>
        <w:jc w:val="center"/>
        <w:tblInd w:w="0" w:type="dxa"/>
        <w:tblLayout w:type="fixed"/>
        <w:tblCellMar>
          <w:top w:w="0" w:type="dxa"/>
          <w:left w:w="149" w:type="dxa"/>
          <w:bottom w:w="0" w:type="dxa"/>
          <w:right w:w="149" w:type="dxa"/>
        </w:tblCellMar>
        <w:tblLook w:val="04a0" w:noHBand="0" w:noVBand="1" w:firstColumn="1" w:lastRow="0" w:lastColumn="0" w:firstRow="1"/>
      </w:tblPr>
      <w:tblGrid>
        <w:gridCol w:w="347"/>
        <w:gridCol w:w="4379"/>
        <w:gridCol w:w="2544"/>
        <w:gridCol w:w="2366"/>
      </w:tblGrid>
      <w:tr>
        <w:trPr>
          <w:tblHeader w:val="true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пп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за 2023 год</w:t>
            </w:r>
          </w:p>
        </w:tc>
      </w:tr>
      <w:tr>
        <w:trPr/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>
        <w:trPr/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закупок в сфере муниципального заказа, участниками которых являются только субъекты малого предпринимательства и социально ориентированные некоммерческие организации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81%</w:t>
            </w:r>
          </w:p>
        </w:tc>
      </w:tr>
      <w:tr>
        <w:trPr/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участникам закупки по вопросам, связанным с получением электронной подписи, формированием заявок, а также правовым сопровождением при проведении закупок</w:t>
            </w:r>
          </w:p>
        </w:tc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конкуренции в сфере распоряжения муниципальной собственностью</w:t>
            </w:r>
          </w:p>
        </w:tc>
      </w:tr>
      <w:tr>
        <w:trPr/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о реализации муниципального имущества Тернейского муниципального района, а также о предоставлении его в аренду в сети «Интернет»</w:t>
            </w:r>
          </w:p>
        </w:tc>
        <w:tc>
          <w:tcPr>
            <w:tcW w:w="2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информационных сообщений в сети «Интернет» по мере проведения аукционов по продаже или предоставлению имущества в аренду</w:t>
            </w:r>
          </w:p>
        </w:tc>
        <w:tc>
          <w:tcPr>
            <w:tcW w:w="23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hyperlink r:id="rId4">
              <w:r>
                <w:rPr>
                  <w:rStyle w:val="-"/>
                  <w:rFonts w:ascii="Times New Roman" w:hAnsi="Times New Roman"/>
                </w:rPr>
                <w:t>https://terneyokrug.gosuslugi.ru/deyatelnost/napravleniya-deyatelnosti/investitsionnaya-deyatelnost/imuschestvennaya-podderzhka/</w:t>
              </w:r>
            </w:hyperlink>
            <w:r>
              <w:rPr>
                <w:rFonts w:ascii="Times New Roman" w:hAnsi="Times New Roman"/>
              </w:rPr>
              <w:t>;</w:t>
            </w:r>
          </w:p>
        </w:tc>
      </w:tr>
      <w:tr>
        <w:trPr/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Опубликование и актуализация в информационно-телекоммуникационной сети «Интернет» информации об объектах (наименование, местонахождение, характеристики, целевое назначение, существующие ограничения их использования и обременения правами третьих лиц), находящихся в муниципальной собственности Тернейского муниципального района</w:t>
            </w:r>
          </w:p>
        </w:tc>
        <w:tc>
          <w:tcPr>
            <w:tcW w:w="2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информационных сообщений в информационно-телекоммуникационной сети «Интернет» актуальной информации об объектах, находящихся в муниципальной собственности района</w:t>
            </w:r>
          </w:p>
        </w:tc>
        <w:tc>
          <w:tcPr>
            <w:tcW w:w="23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>
        <w:trPr/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мероприятий, круглых столов, конференций (форумов), единых информационных дней, пресс-конференций по вопросам развития предпринимательства (ведения диалогов органов власти и бизнеса)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совместных проводимых мероприятий по вопросам развития предпринимательства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встреч проведено в рамках заседаний Совета по развитию предпринимательства</w:t>
            </w:r>
          </w:p>
        </w:tc>
      </w:tr>
      <w:tr>
        <w:trPr/>
        <w:tc>
          <w:tcPr>
            <w:tcW w:w="9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>
        <w:trPr/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чек-листов в рамках контрольно-надзорной деятельности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количества проверок в рамках муниципального контроля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муниципального контроля в отчетном периоде 2023 года в отношении субъектов малого и среднего предпринимательства проверки не проводились.</w:t>
            </w:r>
          </w:p>
        </w:tc>
      </w:tr>
      <w:tr>
        <w:trPr/>
        <w:tc>
          <w:tcPr>
            <w:tcW w:w="9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отдельных отраслях (сферах) экономики Тернейского муниципального округа</w:t>
            </w:r>
          </w:p>
        </w:tc>
      </w:tr>
      <w:tr>
        <w:trPr/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конкурентных способов при размещении заказов на выполнение проектных работ для муниципальных нужд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организаций частной формы собственности, осуществляющих деятельность на рынке архитектурно-строительного проектирования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организации частной собственности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Обеспечение приватизации муниципального имущества</w:t>
            </w:r>
          </w:p>
        </w:tc>
      </w:tr>
      <w:tr>
        <w:trPr/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z w:val="24"/>
                <w:szCs w:val="24"/>
                <w:highlight w:val="cyan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z w:val="24"/>
                <w:szCs w:val="24"/>
                <w:lang w:eastAsia="ru-RU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Инвентаризация муниципального имущества проводится на основании распоряжений администрации Тернейского муниципального округа Приморского края.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Распоряжение администрации Тернейского муниципального округа Приморского края от 17 марта 2022 года № 47-р «О проведении инвентаризации недвижимого имущества Тернейского муниципального округа". (инвентаризация проведена)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администрации Тернейского муниципального округа Приморского края от 23 июня 2022 года № 125-р «О проведении инвентаризации движимого имущества Тернейского муниципального округа". (инвентаризация проведена)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администрации Тернейского муниципального округа Приморского края от 24 июня 2022 года № 128-р «О проведении инвентаризации муниципального жилищного фонда Тернейского муниципального округа Приморского края на территории пгт. Пластун». (срок проведения инвентаризации с27.06.2022 по 15.08.2022)</w:t>
            </w:r>
          </w:p>
        </w:tc>
      </w:tr>
      <w:tr>
        <w:trPr>
          <w:trHeight w:val="4187" w:hRule="atLeast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z w:val="24"/>
                <w:szCs w:val="24"/>
                <w:highlight w:val="cyan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z w:val="24"/>
                <w:szCs w:val="24"/>
                <w:lang w:eastAsia="ru-RU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полномочий и органов местного самоуправления</w:t>
            </w:r>
          </w:p>
        </w:tc>
        <w:tc>
          <w:tcPr>
            <w:tcW w:w="2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Инвентаризация  муниципального движимого (недвижимого) имущества администрации Тернейского муниципального округа Приморского края продолжается, по вываленным объектам идёт проверка. Результат ожидается во 2 квартале 2023 года.</w:t>
            </w:r>
          </w:p>
        </w:tc>
      </w:tr>
      <w:tr>
        <w:trPr/>
        <w:tc>
          <w:tcPr>
            <w:tcW w:w="3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z w:val="24"/>
                <w:szCs w:val="24"/>
                <w:highlight w:val="cyan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z w:val="24"/>
                <w:szCs w:val="24"/>
                <w:lang w:eastAsia="ru-RU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Думы Тернейского муниципального округа Приморского края от 20 декабря 2022 года № 398 «Об утверждении Программы приватизации муниципального имущества Тернейского муниципального округа на 2023 год»</w:t>
            </w:r>
          </w:p>
        </w:tc>
      </w:tr>
      <w:tr>
        <w:trPr/>
        <w:tc>
          <w:tcPr>
            <w:tcW w:w="9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Развитие конкуренции на рынках услуг в сфере информационных технологии,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>
        <w:trPr>
          <w:trHeight w:val="3145" w:hRule="atLeast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textAlignment w:val="baseline"/>
              <w:rPr>
                <w:rFonts w:ascii="Times New Roman" w:hAnsi="Times New Roman"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z w:val="24"/>
                <w:szCs w:val="24"/>
                <w:lang w:eastAsia="ru-RU"/>
              </w:rPr>
              <w:t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jc w:val="center"/>
              <w:textAlignment w:val="baseline"/>
              <w:rPr>
                <w:rFonts w:ascii="Times New Roman" w:hAnsi="Times New Roman" w:eastAsia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2D2D2D"/>
                <w:sz w:val="24"/>
                <w:szCs w:val="24"/>
                <w:lang w:eastAsia="ru-RU"/>
              </w:rP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Предприятия в сфере </w:t>
            </w:r>
            <w:r>
              <w:rPr>
                <w:rFonts w:ascii="Times New Roman" w:hAnsi="Times New Roman"/>
                <w:lang w:val="en-US"/>
              </w:rPr>
              <w:t>IT</w:t>
            </w:r>
            <w:r>
              <w:rPr>
                <w:rFonts w:ascii="Times New Roman" w:hAnsi="Times New Roman"/>
              </w:rPr>
              <w:t>-технологий отсутствуют на территории Тернейского муниципального округа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  <w:t>Раздел 4. Дополнительные комментарии со стороны муниципального образования Приморского края («обратная связь»)</w:t>
      </w:r>
    </w:p>
    <w:p>
      <w:pPr>
        <w:pStyle w:val="Normal"/>
        <w:spacing w:lineRule="auto" w:line="240" w:before="0" w:after="0"/>
        <w:rPr>
          <w:rFonts w:ascii="Times New Roman,Italic" w:hAnsi="Times New Roman,Italic" w:cs="Times New Roman,Italic"/>
          <w:sz w:val="28"/>
          <w:szCs w:val="28"/>
          <w:highlight w:val="yellow"/>
        </w:rPr>
      </w:pPr>
      <w:r>
        <w:rPr>
          <w:rFonts w:cs="Times New Roman,Italic" w:ascii="Times New Roman,Italic" w:hAnsi="Times New Roman,Italic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567"/>
        <w:jc w:val="both"/>
        <w:rPr>
          <w:highlight w:val="none"/>
          <w:shd w:fill="auto" w:val="clear"/>
        </w:rPr>
      </w:pPr>
      <w:r>
        <w:rPr>
          <w:rFonts w:cs="Times New Roman,Italic" w:ascii="Times New Roman,Italic" w:hAnsi="Times New Roman,Italic"/>
          <w:iCs/>
          <w:sz w:val="28"/>
          <w:szCs w:val="28"/>
          <w:shd w:fill="auto" w:val="clear"/>
        </w:rPr>
        <w:t>В 2023 году на основании полученных по итогам мониторинга состояния конкурентной среды в Тернейском муниципальном округе и отдельных его отраслевых рынках результатов, представленных в Докладе, в Тернейском муниципальном округе продолжится активная работа по внедрению Стандарта и содействию развитию конкуренции в соответствии с его требованиями.</w:t>
      </w:r>
    </w:p>
    <w:p>
      <w:pPr>
        <w:pStyle w:val="Normal"/>
        <w:spacing w:lineRule="auto" w:line="240" w:before="0" w:after="0"/>
        <w:ind w:firstLine="567"/>
        <w:jc w:val="both"/>
        <w:rPr>
          <w:highlight w:val="none"/>
          <w:shd w:fill="auto" w:val="clear"/>
        </w:rPr>
      </w:pPr>
      <w:r>
        <w:rPr>
          <w:rFonts w:cs="Times New Roman,Italic" w:ascii="Times New Roman,Italic" w:hAnsi="Times New Roman,Italic"/>
          <w:sz w:val="28"/>
          <w:szCs w:val="28"/>
          <w:shd w:fill="auto" w:val="clear"/>
        </w:rPr>
        <w:t>Количество самозанятых граждан за 2023 год по Тернейскому муниципальному округу, зафиксировавших свой статус, с учетом введения налогового режима для самозанятых, увеличилось на 67% по сравнению с уровнем предыдущего года (236 чел.) и составило 395 человек.</w:t>
      </w:r>
    </w:p>
    <w:p>
      <w:pPr>
        <w:pStyle w:val="Normal"/>
        <w:spacing w:lineRule="auto" w:line="240" w:before="0" w:after="0"/>
        <w:ind w:firstLine="567"/>
        <w:rPr>
          <w:rFonts w:ascii="Times New Roman,Italic" w:hAnsi="Times New Roman,Italic" w:cs="Times New Roman,Italic"/>
          <w:sz w:val="28"/>
          <w:szCs w:val="28"/>
          <w:highlight w:val="none"/>
          <w:shd w:fill="FFFF00" w:val="clear"/>
        </w:rPr>
      </w:pPr>
      <w:r>
        <w:rPr>
          <w:rFonts w:cs="Times New Roman,Italic" w:ascii="Times New Roman,Italic" w:hAnsi="Times New Roman,Italic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ind w:firstLine="567"/>
        <w:jc w:val="both"/>
        <w:rPr>
          <w:highlight w:val="none"/>
          <w:shd w:fill="FFFF00" w:val="clear"/>
        </w:rPr>
      </w:pPr>
      <w:r>
        <w:rPr>
          <w:rFonts w:cs="Times New Roman,Italic" w:ascii="Times New Roman,Italic" w:hAnsi="Times New Roman,Italic"/>
          <w:sz w:val="28"/>
          <w:szCs w:val="28"/>
          <w:shd w:fill="auto" w:val="clear"/>
        </w:rPr>
        <w:t>В</w:t>
      </w:r>
      <w:r>
        <w:rPr>
          <w:rFonts w:cs="Times New Roman,Italic" w:ascii="Times New Roman,Italic" w:hAnsi="Times New Roman,Italic"/>
          <w:sz w:val="28"/>
          <w:szCs w:val="28"/>
          <w:shd w:fill="auto" w:val="clear"/>
        </w:rPr>
        <w:t xml:space="preserve"> округе продолжится реализация мероприятий муниципальной программы по развитию МСП, оказание всех форм поддержки для самозанятых граждан и физических лиц: информационной, имущественной, консультационной, финансовой.</w:t>
      </w:r>
    </w:p>
    <w:p>
      <w:pPr>
        <w:pStyle w:val="Normal"/>
        <w:spacing w:lineRule="auto" w:line="240" w:before="0" w:after="0"/>
        <w:ind w:firstLine="567"/>
        <w:jc w:val="both"/>
        <w:rPr>
          <w:highlight w:val="none"/>
          <w:shd w:fill="FFFF00" w:val="clear"/>
        </w:rPr>
      </w:pPr>
      <w:r>
        <w:rPr>
          <w:rFonts w:cs="Times New Roman,Italic" w:ascii="Times New Roman,Italic" w:hAnsi="Times New Roman,Italic"/>
          <w:sz w:val="28"/>
          <w:szCs w:val="28"/>
          <w:shd w:fill="auto" w:val="clear"/>
        </w:rPr>
        <w:t>Так же необходимо отметить, что в соответствии с постановлением Агентства по тарифам Приморского края от 24.12.2021 года  № 60/6 «О внесении изменений в постановление департамента по тарифам Приморского края от 10 октября 2019 года № 44/5 «Об установлении цен (тарифов) на электрическую энергию (мощность), производимую электростанциями КГУП «Примтеплоэнерго», «НордПрим» (гарантирующий поставщик), с использованием которых осуществляется производство и поставка электрической энергии (мощности) потребителям Тернейского муниципального округа Приморского края на розничном рынке на территориях, не объединенных в ценовые зоны оптового рынка»», тариф на электрическую энергию с 2023 года для предпринимателей Тернейского муниципального округа будет стоит в среднем 9,5 рублей.</w:t>
      </w:r>
    </w:p>
    <w:p>
      <w:pPr>
        <w:pStyle w:val="Normal"/>
        <w:spacing w:lineRule="auto" w:line="240" w:before="0" w:after="0"/>
        <w:ind w:firstLine="567"/>
        <w:jc w:val="both"/>
        <w:rPr>
          <w:highlight w:val="none"/>
          <w:shd w:fill="FFFF00" w:val="clear"/>
        </w:rPr>
      </w:pPr>
      <w:r>
        <w:rPr>
          <w:rFonts w:cs="Times New Roman,Italic" w:ascii="Times New Roman,Italic" w:hAnsi="Times New Roman,Italic"/>
          <w:sz w:val="28"/>
          <w:szCs w:val="28"/>
          <w:shd w:fill="auto" w:val="clear"/>
        </w:rPr>
        <w:t>Данное выравнивание тарифа стало толчком для роста рентабельности и конкурентоспособности товаров, работ и услуг округа. Несомненно, это важный фактор и для возможного инвестора, который будет исходить от показателя окупаемости и возможностей развития проекта, а также позволит «ликвидировать энергетическое неравенство» с другими муниципальными образованиями Приморского края и позволит повысить конкурентоспособность на краевом уровне.</w:t>
      </w:r>
    </w:p>
    <w:p>
      <w:pPr>
        <w:pStyle w:val="Normal"/>
        <w:spacing w:lineRule="auto" w:line="240" w:before="0" w:after="0"/>
        <w:ind w:firstLine="567"/>
        <w:jc w:val="both"/>
        <w:rPr>
          <w:highlight w:val="none"/>
          <w:shd w:fill="auto" w:val="clear"/>
        </w:rPr>
      </w:pPr>
      <w:r>
        <w:rPr>
          <w:rFonts w:cs="Times New Roman,Italic" w:ascii="Times New Roman,Italic" w:hAnsi="Times New Roman,Italic"/>
          <w:sz w:val="28"/>
          <w:szCs w:val="28"/>
          <w:shd w:fill="auto" w:val="clear"/>
        </w:rPr>
        <w:t>Наблюдаемое замедление деятельности малого и среднего бизнеса в первом полугодии 2022 году в первую очередь вызвано санкционными ограничениями. Но снижение конкурентоспособности малого и среднего предпринимательства (далее - МСП) удалось избежать за счет мер поддержки, предоставленных государством. Эти меры были более масштабными, чем предпринятые в 2020–2021 годах в период COVID-19.</w:t>
      </w:r>
    </w:p>
    <w:p>
      <w:pPr>
        <w:sectPr>
          <w:headerReference w:type="default" r:id="rId5"/>
          <w:type w:val="nextPage"/>
          <w:pgSz w:w="11906" w:h="16838"/>
          <w:pgMar w:left="1418" w:right="851" w:gutter="0" w:header="709" w:top="1134" w:footer="0" w:bottom="105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567"/>
        <w:jc w:val="both"/>
        <w:rPr>
          <w:highlight w:val="none"/>
          <w:shd w:fill="auto" w:val="clear"/>
        </w:rPr>
      </w:pPr>
      <w:r>
        <w:rPr>
          <w:rFonts w:cs="Times New Roman,Italic" w:ascii="Times New Roman,Italic" w:hAnsi="Times New Roman,Italic"/>
          <w:sz w:val="28"/>
          <w:szCs w:val="28"/>
          <w:shd w:fill="auto" w:val="clear"/>
        </w:rPr>
        <w:t xml:space="preserve">Несмотря на высокую инфляцию и волатильность валютного курса, в этом году потребительский спрос увеличился. </w:t>
      </w:r>
      <w:r>
        <w:rPr>
          <w:rFonts w:cs="Times New Roman,Italic" w:ascii="Times New Roman,Italic" w:hAnsi="Times New Roman,Italic"/>
          <w:sz w:val="28"/>
          <w:szCs w:val="28"/>
          <w:shd w:fill="auto" w:val="clear"/>
        </w:rPr>
        <w:t>Местные потребители продолжает увеличивать присутствие в «онлайне». В свою очередь, инфраструктура интернет-продаж, в основном от маркетплейсов («Ozon», :Wildberries»), все глубже проникает в Тернейский муниципальный округ, растёт число пунктов выдачи, которые в свою очередь составляют хорошую конкуренцию местным торговым предприятиям.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  <w:shd w:fill="auto" w:val="clear"/>
        </w:rPr>
        <w:t>Раздел 5. Сведения о достижении целевых значений контрольных показателей эффективности, установленных в муниципальной «дорожной карте»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,Italic" w:ascii="Times New Roman,Italic" w:hAnsi="Times New Roman,Italic"/>
          <w:iCs/>
          <w:sz w:val="28"/>
          <w:szCs w:val="28"/>
          <w:shd w:fill="auto" w:val="clear"/>
        </w:rPr>
        <w:t>Необходимо представить перечень ключевых показателей (по утвержденным рынкам; по рынкам, выбранным дополнительно с учетом территориальной специфики; по системным мероприятиям из Стандарта и системным мероприятиям, разработанным муниципальным образованием дополнительно), установленных в муниципальной «дорожной карте» в отчетном периоде в соответствии со следующей таблицей:</w:t>
      </w:r>
    </w:p>
    <w:p>
      <w:pPr>
        <w:pStyle w:val="Normal"/>
        <w:rPr>
          <w:rFonts w:ascii="Times New Roman,Italic" w:hAnsi="Times New Roman,Italic" w:cs="Times New Roman,Italic"/>
          <w:sz w:val="28"/>
          <w:szCs w:val="28"/>
          <w:highlight w:val="none"/>
          <w:shd w:fill="auto" w:val="clear"/>
        </w:rPr>
      </w:pPr>
      <w:r>
        <w:rPr>
          <w:rFonts w:cs="Times New Roman,Italic" w:ascii="Times New Roman,Italic" w:hAnsi="Times New Roman,Italic"/>
          <w:sz w:val="28"/>
          <w:szCs w:val="28"/>
          <w:shd w:fill="auto" w:val="clear"/>
        </w:rPr>
      </w:r>
    </w:p>
    <w:tbl>
      <w:tblPr>
        <w:tblStyle w:val="a3"/>
        <w:tblW w:w="1516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3"/>
        <w:gridCol w:w="1554"/>
        <w:gridCol w:w="1482"/>
        <w:gridCol w:w="1417"/>
        <w:gridCol w:w="1134"/>
        <w:gridCol w:w="1277"/>
        <w:gridCol w:w="1133"/>
        <w:gridCol w:w="1275"/>
        <w:gridCol w:w="1560"/>
        <w:gridCol w:w="1999"/>
        <w:gridCol w:w="1827"/>
      </w:tblGrid>
      <w:tr>
        <w:trPr/>
        <w:tc>
          <w:tcPr>
            <w:tcW w:w="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п/п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Наименование рынка (направления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системного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мероприятия)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показателя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40" w:right="0" w:hanging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Единицы измерения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Исходное значение показателя в отчетном году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Фактическое значение показателя в отчетном году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Источник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данных для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расчета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показателя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Методика расчета показателя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предпринимателей действиями органов местного самоуправления, процентов</w:t>
            </w:r>
          </w:p>
        </w:tc>
      </w:tr>
      <w:tr>
        <w:trPr/>
        <w:tc>
          <w:tcPr>
            <w:tcW w:w="50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155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Рынок розничной торговли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40" w:right="-81" w:hanging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Проценты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73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75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80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199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качеством товаров -</w:t>
            </w: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79</w:t>
            </w: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%;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ценой товаров -30%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доступностью товаров – 90%</w:t>
            </w:r>
          </w:p>
        </w:tc>
        <w:tc>
          <w:tcPr>
            <w:tcW w:w="182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 xml:space="preserve">Удовлетворенность предпринимателей – </w:t>
            </w: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83</w:t>
            </w: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%</w:t>
            </w:r>
          </w:p>
        </w:tc>
      </w:tr>
      <w:tr>
        <w:trPr/>
        <w:tc>
          <w:tcPr>
            <w:tcW w:w="50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  <w:shd w:fill="FFFF00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</w:r>
          </w:p>
        </w:tc>
        <w:tc>
          <w:tcPr>
            <w:tcW w:w="155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  <w:shd w:fill="FFFF00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00" w:val="clear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40" w:right="-81" w:hanging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Проценты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80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75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79,88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Территориальный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орган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Федеральной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Службы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государственной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статистики по Приморскому краю в Тернейском районе</w:t>
            </w:r>
          </w:p>
        </w:tc>
        <w:tc>
          <w:tcPr>
            <w:tcW w:w="19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none"/>
                <w:shd w:fill="FFFF00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FFFF00" w:val="clear"/>
              </w:rPr>
            </w:r>
          </w:p>
        </w:tc>
        <w:tc>
          <w:tcPr>
            <w:tcW w:w="182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none"/>
                <w:shd w:fill="FFFF00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FFFF00" w:val="clear"/>
              </w:rPr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Рынок услуг розничной торговли лекарственными препаратами, медицинскими изделиями и сопутствующими товарами (только для муниципальных районов)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40" w:right="-81" w:hanging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Проценты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Территориальный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орган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Федеральной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Службы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государственной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статистики по Приморскому краю в Тернейском районе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качеством товаров -</w:t>
            </w: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79</w:t>
            </w: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%;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ценой товаров -19%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 xml:space="preserve">Удовлетворенность потребителей доступностью товаров – </w:t>
            </w: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79</w:t>
            </w: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%</w:t>
            </w:r>
          </w:p>
        </w:tc>
        <w:tc>
          <w:tcPr>
            <w:tcW w:w="1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предпринимателей – 50%</w:t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Рынок теплоснабжения (производство тепловой энергии)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40" w:right="-81" w:hanging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Проценты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50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50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Территориальный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орган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Федеральной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Службы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государственной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статистики по Приморскому краю в Тернейском районе, Отдел земельных и имущественных отношений администрации Тернейского муниципального округа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качеством товаров -</w:t>
            </w: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80</w:t>
            </w: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%;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ценой товаров -50%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доступностью товаров – 80%</w:t>
            </w:r>
          </w:p>
        </w:tc>
        <w:tc>
          <w:tcPr>
            <w:tcW w:w="1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предпринимателей –70%</w:t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Рынок выполнения работ по благоустройству городской среды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40" w:right="-81" w:hanging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Проценты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Отдел жизнеобеспечения и развития инфраструктуры администрации Тернейского муниципального округа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качеством товаров -80%;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ценой товаров -40%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потребителей доступностью товаров – 80%</w:t>
            </w:r>
          </w:p>
        </w:tc>
        <w:tc>
          <w:tcPr>
            <w:tcW w:w="1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,Italic" w:ascii="Times New Roman,Italic" w:hAnsi="Times New Roman,Italic"/>
                <w:iCs/>
                <w:kern w:val="0"/>
                <w:sz w:val="18"/>
                <w:szCs w:val="18"/>
                <w:shd w:fill="auto" w:val="clear"/>
                <w:lang w:val="ru-RU" w:eastAsia="en-US" w:bidi="ar-SA"/>
              </w:rPr>
              <w:t>Удовлетворенность предпринимателей – 68%</w:t>
            </w:r>
          </w:p>
        </w:tc>
      </w:tr>
      <w:tr>
        <w:trPr/>
        <w:tc>
          <w:tcPr>
            <w:tcW w:w="5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5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40" w:right="-81" w:hanging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/>
                <w:iCs/>
                <w:sz w:val="18"/>
                <w:szCs w:val="18"/>
                <w:shd w:fill="auto" w:val="clear"/>
              </w:rPr>
              <w:t>Проценты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/>
                <w:iCs/>
                <w:sz w:val="18"/>
                <w:szCs w:val="18"/>
                <w:shd w:fill="auto" w:val="clear"/>
              </w:rPr>
              <w:t>33,3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/>
                <w:iCs/>
                <w:sz w:val="18"/>
                <w:szCs w:val="18"/>
                <w:shd w:fill="auto" w:val="clear"/>
              </w:rPr>
              <w:t>100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auto" w:val="clear"/>
              </w:rPr>
              <w:t>Отдел жизнеобеспечения и развития инфраструктуры администрации Тернейского муниципального округа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auto" w:val="clear"/>
              </w:rPr>
              <w:t>-</w:t>
            </w:r>
          </w:p>
        </w:tc>
        <w:tc>
          <w:tcPr>
            <w:tcW w:w="19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auto" w:val="clear"/>
              </w:rPr>
              <w:t>Удовлетворенность потребителей качеством товаров -69%;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auto" w:val="clear"/>
              </w:rPr>
              <w:t>Удовлетворенность потребителей ценой товаров -50%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auto" w:val="clear"/>
              </w:rPr>
              <w:t>Удовлетворенность потребителей доступностью товаров – 80%</w:t>
            </w:r>
          </w:p>
        </w:tc>
        <w:tc>
          <w:tcPr>
            <w:tcW w:w="18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auto" w:val="clear"/>
              </w:rPr>
              <w:t>Удовлетворенность предпринимателей –50%</w:t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Рынок ритуальных услуг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доля организаций частной формы собственности в сфере ритуальных услуг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Проценты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Отдел жизнеобеспечения и развития инфраструктуры администрации Тернейского муниципального округа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В соответствии с Приказом ФАС России от 29.08.2018 № 1232/18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auto" w:val="clear"/>
              </w:rPr>
              <w:t>Удовлетворенность потребителей качеством товаров -80%;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auto" w:val="clear"/>
              </w:rPr>
              <w:t>Удовлетворенность потребителей ценой товаров -20%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auto" w:val="clear"/>
              </w:rPr>
              <w:t>Удовлетворенность потребителей доступностью товаров – 73%</w:t>
            </w:r>
          </w:p>
        </w:tc>
        <w:tc>
          <w:tcPr>
            <w:tcW w:w="1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,Italic" w:ascii="Times New Roman,Italic" w:hAnsi="Times New Roman,Italic"/>
                <w:iCs/>
                <w:sz w:val="18"/>
                <w:szCs w:val="18"/>
                <w:shd w:fill="auto" w:val="clear"/>
              </w:rPr>
              <w:t>Удовлетворенность предпринимателей –68%</w:t>
            </w:r>
          </w:p>
        </w:tc>
      </w:tr>
      <w:tr>
        <w:trPr/>
        <w:tc>
          <w:tcPr>
            <w:tcW w:w="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Рынок дорожной деятельности (за исключением проектирования)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Проценты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Территориальный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орган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Федеральной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Службы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государственной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статистики по Приморскому краю в Тернейском районе</w:t>
            </w:r>
          </w:p>
        </w:tc>
        <w:tc>
          <w:tcPr>
            <w:tcW w:w="19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Удовлетворенность потребителей качеством дорог -13%;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Удовлетворенность потребителей ценой -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13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 xml:space="preserve">Удовлетворенность потребителей доступностью дорог –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73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%</w:t>
            </w:r>
          </w:p>
        </w:tc>
        <w:tc>
          <w:tcPr>
            <w:tcW w:w="1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Удовлетворенность предпринимателей – 13%</w:t>
            </w:r>
          </w:p>
        </w:tc>
      </w:tr>
    </w:tbl>
    <w:p>
      <w:pPr>
        <w:pStyle w:val="Normal"/>
        <w:spacing w:before="0" w:after="160"/>
        <w:rPr>
          <w:rFonts w:ascii="Times New Roman,Italic" w:hAnsi="Times New Roman,Italic" w:cs="Times New Roman,Italic"/>
          <w:sz w:val="28"/>
          <w:szCs w:val="28"/>
          <w:highlight w:val="none"/>
          <w:shd w:fill="FFFF00" w:val="clear"/>
        </w:rPr>
      </w:pPr>
      <w:r>
        <w:rPr>
          <w:rFonts w:cs="Times New Roman,Italic" w:ascii="Times New Roman,Italic" w:hAnsi="Times New Roman,Italic"/>
          <w:sz w:val="28"/>
          <w:szCs w:val="28"/>
          <w:shd w:fill="FFFF00" w:val="clear"/>
        </w:rPr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1134" w:gutter="0" w:header="709" w:top="1418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Bold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altName w:val="Italic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5146271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18</w:t>
        </w:r>
        <w:r>
          <w:rPr/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45850263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22</w:t>
        </w:r>
        <w:r>
          <w:rPr/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756f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b756f8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02785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229f8"/>
    <w:rPr>
      <w:color w:val="0563C1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b756f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b756f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553c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027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imorsky.ru/authorities/local-government/terneisky/structure/economiks/514 &#1086; &#1074;&#1085;&#1077;&#1089;. &#1080;&#1079;&#1084;. &#1074; 259-19 &#1057;&#1074;&#1086;&#1074;&#1077;&#1090; &#1087;&#1086; &#1088;&#1072;&#1079;&#1074;.&#1087;&#1088;&#1077;&#1076;-&#1074;&#1072;.rtf" TargetMode="External"/><Relationship Id="rId3" Type="http://schemas.openxmlformats.org/officeDocument/2006/relationships/hyperlink" Target="https://terneyokrug.gosuslugi.ru/deyatelnost/napravleniya-deyatelnosti/biznes-predprinimatelstvo/razvitie-konkurentsii/" TargetMode="External"/><Relationship Id="rId4" Type="http://schemas.openxmlformats.org/officeDocument/2006/relationships/hyperlink" Target="https://terneyokrug.gosuslugi.ru/deyatelnost/napravleniya-deyatelnosti/investitsionnaya-deyatelnost/imuschestvennaya-podderzhka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Application>LibreOffice/7.5.8.2$Linux_X86_64 LibreOffice_project/50$Build-2</Application>
  <AppVersion>15.0000</AppVersion>
  <Pages>22</Pages>
  <Words>4453</Words>
  <Characters>34225</Characters>
  <CharactersWithSpaces>38374</CharactersWithSpaces>
  <Paragraphs>381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2022-01-25T03:33:00Z</dcterms:created>
  <dc:creator>Иштыкова Наталия Владимировна</dc:creator>
  <dc:description/>
  <dc:language>ru-RU</dc:language>
  <cp:lastModifiedBy/>
  <dcterms:modified xsi:type="dcterms:W3CDTF">2024-01-24T09:56:14Z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