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на право заключения договора аренды земельного участка</w:t>
      </w:r>
    </w:p>
    <w:p w:rsidR="009A56CE" w:rsidRPr="008E33A7" w:rsidRDefault="009A56CE">
      <w:pPr>
        <w:pStyle w:val="af5"/>
        <w:spacing w:before="0" w:beforeAutospacing="0" w:after="0" w:afterAutospacing="0"/>
        <w:jc w:val="center"/>
        <w:rPr>
          <w:rStyle w:val="af6"/>
          <w:sz w:val="22"/>
          <w:szCs w:val="22"/>
        </w:rPr>
      </w:pPr>
    </w:p>
    <w:p w:rsidR="009A56CE" w:rsidRPr="008E33A7" w:rsidRDefault="009A56CE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>692150, Приморский край, пгт.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8" w:tooltip="mailto:ozioatmr@yandex.ru" w:history="1">
        <w:r w:rsidRPr="008E33A7">
          <w:rPr>
            <w:rStyle w:val="af7"/>
            <w:sz w:val="22"/>
            <w:szCs w:val="22"/>
            <w:lang w:val="en-US"/>
          </w:rPr>
          <w:t>ozioatmr</w:t>
        </w:r>
        <w:r w:rsidRPr="008E33A7">
          <w:rPr>
            <w:rStyle w:val="af7"/>
            <w:sz w:val="22"/>
            <w:szCs w:val="22"/>
          </w:rPr>
          <w:t>@</w:t>
        </w:r>
        <w:r w:rsidRPr="008E33A7">
          <w:rPr>
            <w:rStyle w:val="af7"/>
            <w:sz w:val="22"/>
            <w:szCs w:val="22"/>
            <w:lang w:val="en-US"/>
          </w:rPr>
          <w:t>yandex</w:t>
        </w:r>
        <w:r w:rsidRPr="008E33A7">
          <w:rPr>
            <w:rStyle w:val="af7"/>
            <w:sz w:val="22"/>
            <w:szCs w:val="22"/>
          </w:rPr>
          <w:t>.</w:t>
        </w:r>
        <w:r w:rsidRPr="008E33A7">
          <w:rPr>
            <w:rStyle w:val="af7"/>
            <w:sz w:val="22"/>
            <w:szCs w:val="22"/>
            <w:lang w:val="en-US"/>
          </w:rPr>
          <w:t>ru</w:t>
        </w:r>
      </w:hyperlink>
      <w:r w:rsidRPr="008E33A7">
        <w:rPr>
          <w:sz w:val="22"/>
          <w:szCs w:val="22"/>
        </w:rPr>
        <w:t>.</w:t>
      </w:r>
    </w:p>
    <w:p w:rsidR="009A56CE" w:rsidRPr="008E33A7" w:rsidRDefault="001512DA">
      <w:pPr>
        <w:pStyle w:val="aff0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C75C63">
        <w:rPr>
          <w:sz w:val="22"/>
          <w:szCs w:val="22"/>
        </w:rPr>
        <w:t>01.07</w:t>
      </w:r>
      <w:r w:rsidR="00CC1652" w:rsidRPr="008E33A7">
        <w:rPr>
          <w:sz w:val="22"/>
          <w:szCs w:val="22"/>
        </w:rPr>
        <w:t>.2024</w:t>
      </w:r>
      <w:r w:rsidRPr="008E33A7">
        <w:rPr>
          <w:sz w:val="22"/>
          <w:szCs w:val="22"/>
        </w:rPr>
        <w:t xml:space="preserve"> № </w:t>
      </w:r>
      <w:r w:rsidR="00C75C63">
        <w:rPr>
          <w:sz w:val="22"/>
          <w:szCs w:val="22"/>
        </w:rPr>
        <w:t>624</w:t>
      </w:r>
      <w:r w:rsidRPr="008E33A7">
        <w:rPr>
          <w:sz w:val="22"/>
          <w:szCs w:val="22"/>
        </w:rPr>
        <w:t xml:space="preserve"> «О проведении </w:t>
      </w:r>
      <w:r w:rsidR="00C75C63">
        <w:rPr>
          <w:sz w:val="22"/>
          <w:szCs w:val="22"/>
        </w:rPr>
        <w:t xml:space="preserve">аукциона </w:t>
      </w:r>
      <w:r w:rsidRPr="008E33A7">
        <w:rPr>
          <w:sz w:val="22"/>
          <w:szCs w:val="22"/>
        </w:rPr>
        <w:t>на право заключения договора аренды земельных участков</w:t>
      </w:r>
      <w:r w:rsidR="00C75C63">
        <w:rPr>
          <w:sz w:val="22"/>
          <w:szCs w:val="22"/>
        </w:rPr>
        <w:t xml:space="preserve"> в электронной форме</w:t>
      </w:r>
      <w:r w:rsidRPr="008E33A7">
        <w:rPr>
          <w:sz w:val="22"/>
          <w:szCs w:val="22"/>
        </w:rPr>
        <w:t>»</w:t>
      </w:r>
    </w:p>
    <w:p w:rsidR="009A56CE" w:rsidRPr="00E66FB9" w:rsidRDefault="001512DA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231211">
        <w:rPr>
          <w:rStyle w:val="13"/>
          <w:b w:val="0"/>
        </w:rPr>
        <w:t>–</w:t>
      </w:r>
      <w:r w:rsidRPr="00231211">
        <w:rPr>
          <w:b/>
          <w:sz w:val="22"/>
          <w:szCs w:val="22"/>
        </w:rPr>
        <w:t xml:space="preserve"> </w:t>
      </w:r>
      <w:r w:rsidR="002C607D">
        <w:rPr>
          <w:b/>
          <w:sz w:val="22"/>
          <w:szCs w:val="22"/>
        </w:rPr>
        <w:t>6</w:t>
      </w:r>
      <w:r w:rsidR="00CF3566">
        <w:rPr>
          <w:b/>
          <w:sz w:val="22"/>
          <w:szCs w:val="22"/>
        </w:rPr>
        <w:t xml:space="preserve"> </w:t>
      </w:r>
      <w:r w:rsidR="003248FE" w:rsidRPr="00E66FB9">
        <w:rPr>
          <w:b/>
          <w:sz w:val="22"/>
          <w:szCs w:val="22"/>
        </w:rPr>
        <w:t>сентября</w:t>
      </w:r>
      <w:r w:rsidRPr="00E66FB9">
        <w:rPr>
          <w:b/>
          <w:sz w:val="22"/>
          <w:szCs w:val="22"/>
        </w:rPr>
        <w:t xml:space="preserve"> 2</w:t>
      </w:r>
      <w:r w:rsidR="00B91D46" w:rsidRPr="00E66FB9">
        <w:rPr>
          <w:rStyle w:val="aff5"/>
          <w:sz w:val="22"/>
          <w:szCs w:val="22"/>
        </w:rPr>
        <w:t>024</w:t>
      </w:r>
      <w:r w:rsidRPr="00E66FB9">
        <w:rPr>
          <w:rStyle w:val="aff5"/>
          <w:sz w:val="22"/>
          <w:szCs w:val="22"/>
        </w:rPr>
        <w:t xml:space="preserve"> года</w:t>
      </w:r>
      <w:r w:rsidRPr="00E66FB9">
        <w:rPr>
          <w:rStyle w:val="aff5"/>
          <w:b w:val="0"/>
          <w:sz w:val="22"/>
          <w:szCs w:val="22"/>
        </w:rPr>
        <w:t xml:space="preserve"> </w:t>
      </w:r>
      <w:r w:rsidRPr="00E66FB9">
        <w:rPr>
          <w:b/>
          <w:sz w:val="22"/>
          <w:szCs w:val="22"/>
        </w:rPr>
        <w:t xml:space="preserve">в 10 часов 00 минут </w:t>
      </w:r>
      <w:r w:rsidRPr="00E66FB9">
        <w:rPr>
          <w:rStyle w:val="aff5"/>
          <w:b w:val="0"/>
          <w:sz w:val="22"/>
          <w:szCs w:val="22"/>
        </w:rPr>
        <w:t>по местному времени.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66FB9">
        <w:rPr>
          <w:rFonts w:eastAsiaTheme="minorHAnsi"/>
          <w:b/>
          <w:bCs/>
          <w:sz w:val="22"/>
          <w:szCs w:val="22"/>
          <w:lang w:eastAsia="en-US"/>
        </w:rPr>
        <w:t>Аукцион проводится на электронной площадке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оператором электронной площадки. </w:t>
      </w:r>
    </w:p>
    <w:p w:rsidR="009A56CE" w:rsidRPr="008E33A7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 w:rsidRPr="008E33A7">
        <w:rPr>
          <w:rStyle w:val="aff5"/>
          <w:sz w:val="22"/>
          <w:szCs w:val="22"/>
        </w:rPr>
        <w:t>Место проведения аукциона</w:t>
      </w:r>
      <w:r w:rsidRPr="008E33A7">
        <w:rPr>
          <w:rStyle w:val="aff5"/>
          <w:b w:val="0"/>
          <w:sz w:val="22"/>
          <w:szCs w:val="22"/>
        </w:rPr>
        <w:t xml:space="preserve">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9" w:tooltip="http://utp.sberbank-ast.ru" w:history="1">
        <w:r w:rsidRPr="008E33A7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 w:rsidRPr="008E33A7"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9A56CE" w:rsidRPr="008E33A7" w:rsidRDefault="001512DA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10" w:tooltip="mailto:company@sberbank-ast.ru" w:history="1">
        <w:r w:rsidRPr="008E33A7">
          <w:rPr>
            <w:rStyle w:val="af7"/>
            <w:color w:val="auto"/>
            <w:sz w:val="22"/>
            <w:szCs w:val="22"/>
            <w:u w:val="none"/>
          </w:rPr>
          <w:t>company@sberbank-ast.ru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f7"/>
          <w:color w:val="auto"/>
          <w:sz w:val="22"/>
          <w:szCs w:val="22"/>
          <w:u w:val="none"/>
        </w:rPr>
        <w:t>.</w:t>
      </w:r>
      <w:r w:rsidRPr="008E33A7">
        <w:rPr>
          <w:rStyle w:val="af7"/>
          <w:color w:val="auto"/>
          <w:sz w:val="22"/>
          <w:szCs w:val="22"/>
        </w:rPr>
        <w:t xml:space="preserve">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9A56CE" w:rsidRPr="008E33A7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9A56CE" w:rsidRPr="008E33A7" w:rsidRDefault="001512DA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РФ,  Регламентом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9A56CE" w:rsidRPr="008E33A7" w:rsidRDefault="001512DA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ff5"/>
          <w:b w:val="0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11" w:tooltip="http://www.torgi.gov.ru/" w:history="1">
        <w:r w:rsidRPr="008E33A7">
          <w:rPr>
            <w:rStyle w:val="af7"/>
            <w:color w:val="auto"/>
            <w:sz w:val="22"/>
            <w:szCs w:val="22"/>
            <w:u w:val="none"/>
          </w:rPr>
          <w:t>www.torgi.gov.ru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9A56CE" w:rsidRPr="008E33A7" w:rsidRDefault="009A56CE">
      <w:pPr>
        <w:pStyle w:val="af5"/>
        <w:tabs>
          <w:tab w:val="left" w:pos="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1</w:t>
      </w:r>
    </w:p>
    <w:p w:rsidR="009A56CE" w:rsidRPr="00896A0B" w:rsidRDefault="001512DA" w:rsidP="00CC14AD">
      <w:pPr>
        <w:jc w:val="both"/>
      </w:pPr>
      <w:r w:rsidRPr="004B55AC">
        <w:rPr>
          <w:b/>
          <w:sz w:val="22"/>
          <w:szCs w:val="22"/>
        </w:rPr>
        <w:t xml:space="preserve">Предмет аукциона: </w:t>
      </w:r>
      <w:r w:rsidRPr="00896A0B">
        <w:rPr>
          <w:bCs/>
        </w:rPr>
        <w:t xml:space="preserve">продажа права на заключение договора </w:t>
      </w:r>
      <w:r w:rsidR="00B91D46" w:rsidRPr="00896A0B">
        <w:rPr>
          <w:bCs/>
        </w:rPr>
        <w:t>аренды земельного</w:t>
      </w:r>
      <w:r w:rsidRPr="00896A0B">
        <w:rPr>
          <w:bCs/>
        </w:rPr>
        <w:t xml:space="preserve"> участка </w:t>
      </w:r>
      <w:r w:rsidR="00896A0B" w:rsidRPr="00896A0B">
        <w:t>из земель населенных пунктов с местоположением</w:t>
      </w:r>
      <w:r w:rsidRPr="00896A0B">
        <w:t xml:space="preserve">: </w:t>
      </w:r>
      <w:r w:rsidR="00CC14AD" w:rsidRPr="00896A0B">
        <w:t>Местоположение установлено относительно ориентира, расположенного за пределами участка. Ориентир жилое здание. Участок находится примерно в 30 м от ориентира по направлению на север-запад. Почтовый адрес ориентира: Приморский край, Тернейский р-н, пгт. Терней, ул. Набережная, д.10.; кад. № 25:17:040001:5102</w:t>
      </w:r>
      <w:r w:rsidRPr="00CC14AD">
        <w:rPr>
          <w:szCs w:val="22"/>
        </w:rPr>
        <w:t>, вид р</w:t>
      </w:r>
      <w:r w:rsidRPr="00CC14AD">
        <w:rPr>
          <w:bCs/>
          <w:szCs w:val="22"/>
        </w:rPr>
        <w:t xml:space="preserve">азрешенного </w:t>
      </w:r>
      <w:r w:rsidRPr="00896A0B">
        <w:rPr>
          <w:bCs/>
        </w:rPr>
        <w:t>использования</w:t>
      </w:r>
      <w:r w:rsidR="000D766E" w:rsidRPr="00896A0B">
        <w:rPr>
          <w:bCs/>
        </w:rPr>
        <w:t xml:space="preserve">: </w:t>
      </w:r>
      <w:r w:rsidR="00CC14AD" w:rsidRPr="00896A0B">
        <w:t>причалы для маломерных судов</w:t>
      </w:r>
      <w:r w:rsidRPr="00896A0B">
        <w:rPr>
          <w:bCs/>
        </w:rPr>
        <w:t xml:space="preserve">; цель использования: </w:t>
      </w:r>
      <w:r w:rsidR="00CC14AD" w:rsidRPr="00896A0B">
        <w:t>причалы для маломерных судов</w:t>
      </w:r>
      <w:r w:rsidR="00CC1652" w:rsidRPr="00896A0B">
        <w:t>.</w:t>
      </w:r>
    </w:p>
    <w:p w:rsidR="009A56CE" w:rsidRPr="00896A0B" w:rsidRDefault="001512DA">
      <w:pPr>
        <w:ind w:firstLine="567"/>
        <w:jc w:val="both"/>
      </w:pPr>
      <w:r w:rsidRPr="00896A0B">
        <w:rPr>
          <w:bCs/>
        </w:rPr>
        <w:t>Ограничения использования земельного участка: отсутствуют.</w:t>
      </w:r>
    </w:p>
    <w:p w:rsidR="009A56CE" w:rsidRPr="00EE71BF" w:rsidRDefault="001512DA">
      <w:pPr>
        <w:ind w:firstLine="539"/>
        <w:jc w:val="both"/>
        <w:rPr>
          <w:sz w:val="22"/>
          <w:szCs w:val="22"/>
        </w:rPr>
      </w:pPr>
      <w:r w:rsidRPr="00896A0B">
        <w:lastRenderedPageBreak/>
        <w:t xml:space="preserve">Начальная цена предмета аукциона (размер ежегодной арендной платы) – </w:t>
      </w:r>
      <w:r w:rsidR="00CC14AD" w:rsidRPr="00896A0B">
        <w:t xml:space="preserve">6816,11 </w:t>
      </w:r>
      <w:r w:rsidR="00B91D46" w:rsidRPr="00896A0B">
        <w:t>руб</w:t>
      </w:r>
      <w:r w:rsidR="00B91D46" w:rsidRPr="00EE71BF">
        <w:rPr>
          <w:sz w:val="22"/>
          <w:szCs w:val="22"/>
        </w:rPr>
        <w:t>.</w:t>
      </w:r>
      <w:r w:rsidRPr="00EE71BF">
        <w:rPr>
          <w:sz w:val="22"/>
          <w:szCs w:val="22"/>
        </w:rPr>
        <w:t xml:space="preserve"> </w:t>
      </w:r>
    </w:p>
    <w:p w:rsidR="009A56CE" w:rsidRPr="00EE71BF" w:rsidRDefault="001512DA">
      <w:pPr>
        <w:ind w:firstLine="539"/>
        <w:jc w:val="both"/>
        <w:rPr>
          <w:sz w:val="22"/>
          <w:szCs w:val="22"/>
        </w:rPr>
      </w:pPr>
      <w:r w:rsidRPr="00EE71BF">
        <w:rPr>
          <w:sz w:val="22"/>
          <w:szCs w:val="22"/>
        </w:rPr>
        <w:t xml:space="preserve">Шаг аукциона – </w:t>
      </w:r>
      <w:r w:rsidR="00CC14AD" w:rsidRPr="00EE71BF">
        <w:rPr>
          <w:sz w:val="22"/>
          <w:szCs w:val="22"/>
        </w:rPr>
        <w:t xml:space="preserve">204,48 </w:t>
      </w:r>
      <w:r w:rsidRPr="00EE71BF">
        <w:rPr>
          <w:sz w:val="22"/>
          <w:szCs w:val="22"/>
        </w:rPr>
        <w:t>руб.</w:t>
      </w:r>
    </w:p>
    <w:p w:rsidR="009A56CE" w:rsidRPr="00EE71BF" w:rsidRDefault="001512DA">
      <w:pPr>
        <w:ind w:firstLine="539"/>
        <w:jc w:val="both"/>
        <w:rPr>
          <w:sz w:val="22"/>
          <w:szCs w:val="22"/>
        </w:rPr>
      </w:pPr>
      <w:r w:rsidRPr="00EE71BF">
        <w:rPr>
          <w:bCs/>
          <w:sz w:val="22"/>
          <w:szCs w:val="22"/>
        </w:rPr>
        <w:t xml:space="preserve">Задаток </w:t>
      </w:r>
      <w:r w:rsidRPr="00EE71BF">
        <w:rPr>
          <w:sz w:val="22"/>
          <w:szCs w:val="22"/>
        </w:rPr>
        <w:t>–</w:t>
      </w:r>
      <w:r w:rsidR="00B91D46" w:rsidRPr="00EE71BF">
        <w:rPr>
          <w:sz w:val="22"/>
          <w:szCs w:val="22"/>
        </w:rPr>
        <w:t xml:space="preserve"> </w:t>
      </w:r>
      <w:r w:rsidR="00CC14AD" w:rsidRPr="00EE71BF">
        <w:rPr>
          <w:sz w:val="22"/>
          <w:szCs w:val="22"/>
        </w:rPr>
        <w:t xml:space="preserve">1363,22 </w:t>
      </w:r>
      <w:r w:rsidRPr="00EE71BF">
        <w:rPr>
          <w:sz w:val="22"/>
          <w:szCs w:val="22"/>
        </w:rPr>
        <w:t>руб.</w:t>
      </w:r>
    </w:p>
    <w:p w:rsidR="009A56CE" w:rsidRPr="00EE71BF" w:rsidRDefault="001512DA">
      <w:pPr>
        <w:ind w:firstLine="540"/>
        <w:jc w:val="both"/>
        <w:rPr>
          <w:bCs/>
          <w:sz w:val="22"/>
          <w:szCs w:val="22"/>
        </w:rPr>
      </w:pPr>
      <w:r w:rsidRPr="00EE71BF">
        <w:rPr>
          <w:bCs/>
          <w:sz w:val="22"/>
          <w:szCs w:val="22"/>
        </w:rPr>
        <w:t>Срок аренды: 10 лет.</w:t>
      </w:r>
    </w:p>
    <w:p w:rsidR="009A56CE" w:rsidRPr="00EE71BF" w:rsidRDefault="001512DA">
      <w:pPr>
        <w:ind w:firstLine="540"/>
        <w:jc w:val="both"/>
        <w:rPr>
          <w:sz w:val="22"/>
          <w:szCs w:val="22"/>
        </w:rPr>
      </w:pPr>
      <w:r w:rsidRPr="00EE71BF">
        <w:rPr>
          <w:sz w:val="22"/>
          <w:szCs w:val="22"/>
        </w:rPr>
        <w:t>Права на земельный участок, ограничения этих прав: отсутствуют.</w:t>
      </w:r>
    </w:p>
    <w:p w:rsidR="009A56CE" w:rsidRPr="00EE71BF" w:rsidRDefault="001512DA">
      <w:pPr>
        <w:ind w:firstLine="539"/>
        <w:jc w:val="both"/>
        <w:rPr>
          <w:sz w:val="22"/>
          <w:szCs w:val="22"/>
        </w:rPr>
      </w:pPr>
      <w:r w:rsidRPr="00EE71BF">
        <w:rPr>
          <w:sz w:val="22"/>
          <w:szCs w:val="22"/>
        </w:rPr>
        <w:t xml:space="preserve">Информация о расположенных в границах земельного участка объектах капитального строительства: объекты капитального строительства отсутствуют. </w:t>
      </w:r>
    </w:p>
    <w:p w:rsidR="00B91D46" w:rsidRPr="00EE71BF" w:rsidRDefault="00B91D46" w:rsidP="00CC1652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E71BF">
        <w:rPr>
          <w:rStyle w:val="af6"/>
          <w:b w:val="0"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5B483E" w:rsidRPr="00EE71BF" w:rsidRDefault="005B483E" w:rsidP="005B483E">
      <w:pPr>
        <w:ind w:firstLine="709"/>
        <w:jc w:val="both"/>
        <w:rPr>
          <w:color w:val="000000"/>
          <w:sz w:val="22"/>
          <w:szCs w:val="22"/>
        </w:rPr>
      </w:pPr>
      <w:r w:rsidRPr="00EE71BF">
        <w:rPr>
          <w:color w:val="000000"/>
          <w:sz w:val="22"/>
          <w:szCs w:val="22"/>
        </w:rPr>
        <w:t>Предельные (максимальные и минимальные) размеры земельных участков не установлены.</w:t>
      </w:r>
    </w:p>
    <w:p w:rsidR="005B483E" w:rsidRPr="00EE71BF" w:rsidRDefault="005B483E" w:rsidP="005B483E">
      <w:pPr>
        <w:ind w:firstLine="709"/>
        <w:jc w:val="both"/>
        <w:rPr>
          <w:color w:val="000000"/>
          <w:sz w:val="22"/>
          <w:szCs w:val="22"/>
        </w:rPr>
      </w:pPr>
      <w:r w:rsidRPr="00EE71BF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</w:t>
      </w:r>
      <w:r w:rsidR="007A1EF3" w:rsidRPr="00EE71BF">
        <w:rPr>
          <w:color w:val="000000"/>
          <w:sz w:val="22"/>
          <w:szCs w:val="22"/>
        </w:rPr>
        <w:t>опустимого размещения объекта –3</w:t>
      </w:r>
      <w:r w:rsidRPr="00EE71BF">
        <w:rPr>
          <w:color w:val="000000"/>
          <w:sz w:val="22"/>
          <w:szCs w:val="22"/>
        </w:rPr>
        <w:t xml:space="preserve"> м.</w:t>
      </w:r>
    </w:p>
    <w:p w:rsidR="007A1EF3" w:rsidRPr="00EE71BF" w:rsidRDefault="007A1EF3" w:rsidP="005B483E">
      <w:pPr>
        <w:ind w:firstLine="709"/>
        <w:jc w:val="both"/>
        <w:rPr>
          <w:color w:val="000000"/>
          <w:sz w:val="22"/>
          <w:szCs w:val="22"/>
        </w:rPr>
      </w:pPr>
      <w:r w:rsidRPr="00EE71BF">
        <w:rPr>
          <w:color w:val="000000"/>
          <w:sz w:val="22"/>
          <w:szCs w:val="22"/>
        </w:rPr>
        <w:t>Предельное количество этажей- 5</w:t>
      </w:r>
    </w:p>
    <w:p w:rsidR="007A1EF3" w:rsidRPr="009E2586" w:rsidRDefault="005B483E" w:rsidP="009E2586">
      <w:pPr>
        <w:jc w:val="both"/>
        <w:rPr>
          <w:sz w:val="22"/>
          <w:szCs w:val="22"/>
        </w:rPr>
      </w:pPr>
      <w:r w:rsidRPr="00EE71BF">
        <w:rPr>
          <w:color w:val="000000"/>
          <w:sz w:val="22"/>
          <w:szCs w:val="22"/>
        </w:rPr>
        <w:t xml:space="preserve">Максимальный процент застройки в границах земельного участка </w:t>
      </w:r>
      <w:r w:rsidR="007A1EF3" w:rsidRPr="00EE71BF">
        <w:rPr>
          <w:color w:val="000000"/>
          <w:sz w:val="20"/>
          <w:szCs w:val="20"/>
        </w:rPr>
        <w:t>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  <w:r w:rsidR="009E2586" w:rsidRPr="009E2586">
        <w:rPr>
          <w:sz w:val="22"/>
          <w:szCs w:val="22"/>
        </w:rPr>
        <w:t xml:space="preserve"> </w:t>
      </w:r>
      <w:r w:rsidR="009E2586" w:rsidRPr="00B26BF3">
        <w:rPr>
          <w:sz w:val="22"/>
          <w:szCs w:val="22"/>
        </w:rPr>
        <w:t>При проектировании и строительстве в зонах затопления, подтопления необходимо предусматривать инженерную защиту от затопления и подтопления зданий.</w:t>
      </w:r>
    </w:p>
    <w:p w:rsidR="00B91D46" w:rsidRPr="00EE71BF" w:rsidRDefault="00B91D46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71BF">
        <w:rPr>
          <w:rFonts w:eastAsiaTheme="minorHAnsi"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 w:rsidR="005B483E" w:rsidRPr="00EE71BF">
        <w:rPr>
          <w:rFonts w:eastAsiaTheme="minorHAnsi"/>
          <w:sz w:val="22"/>
          <w:szCs w:val="22"/>
          <w:lang w:eastAsia="en-US"/>
        </w:rPr>
        <w:t>отсутствует.</w:t>
      </w:r>
    </w:p>
    <w:p w:rsidR="005826CF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826CF" w:rsidRDefault="005826CF" w:rsidP="005826CF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Лот № 2</w:t>
      </w:r>
    </w:p>
    <w:p w:rsidR="005826CF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 xml:space="preserve">Предмет аукциона: продажа права на заключение договора аренды земельного участка из земель населенных пунктов с местоположением: </w:t>
      </w:r>
      <w:r w:rsidRPr="005826CF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>
        <w:rPr>
          <w:sz w:val="22"/>
          <w:szCs w:val="22"/>
        </w:rPr>
        <w:t xml:space="preserve"> </w:t>
      </w:r>
      <w:r w:rsidRPr="005826CF">
        <w:rPr>
          <w:sz w:val="22"/>
          <w:szCs w:val="22"/>
        </w:rPr>
        <w:t>Ориентир нежилое здание. Участок находится примерно в 9 м от ориентира по напр</w:t>
      </w:r>
      <w:r>
        <w:rPr>
          <w:sz w:val="22"/>
          <w:szCs w:val="22"/>
        </w:rPr>
        <w:t xml:space="preserve">авлению на север. Почтовый адрес </w:t>
      </w:r>
      <w:r w:rsidRPr="005826CF">
        <w:rPr>
          <w:sz w:val="22"/>
          <w:szCs w:val="22"/>
        </w:rPr>
        <w:t>ориентира: Приморский край, Тернейский р-н, пгт. Терней, ул. Комсомольская, д.20.; кад. № 25:17:040001:5097</w:t>
      </w:r>
      <w:r w:rsidRPr="00B26BF3">
        <w:rPr>
          <w:sz w:val="22"/>
          <w:szCs w:val="22"/>
        </w:rPr>
        <w:t xml:space="preserve">, в вид разрешенного использования: </w:t>
      </w:r>
      <w:r>
        <w:rPr>
          <w:sz w:val="22"/>
          <w:szCs w:val="22"/>
        </w:rPr>
        <w:t>объекты дорожного сервиса</w:t>
      </w:r>
      <w:r w:rsidRPr="00B26BF3">
        <w:rPr>
          <w:sz w:val="22"/>
          <w:szCs w:val="22"/>
        </w:rPr>
        <w:t xml:space="preserve">; цель использования: </w:t>
      </w:r>
      <w:r w:rsidR="00EE71BF">
        <w:rPr>
          <w:sz w:val="22"/>
          <w:szCs w:val="22"/>
        </w:rPr>
        <w:t>для объектов дорожного сервиса.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 w:rsidR="00EE71BF" w:rsidRPr="00EE71BF">
        <w:rPr>
          <w:sz w:val="22"/>
          <w:szCs w:val="22"/>
        </w:rPr>
        <w:t>10586,5</w:t>
      </w:r>
      <w:r w:rsidR="00EE71BF"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 xml:space="preserve">Шаг аукциона – </w:t>
      </w:r>
      <w:r w:rsidR="00EE71BF" w:rsidRPr="00EE71BF">
        <w:rPr>
          <w:sz w:val="22"/>
          <w:szCs w:val="22"/>
        </w:rPr>
        <w:t>317,6</w:t>
      </w:r>
      <w:r w:rsidR="00EE71BF"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 xml:space="preserve">Задаток – </w:t>
      </w:r>
      <w:r w:rsidR="00EE71BF" w:rsidRPr="00EE71BF">
        <w:rPr>
          <w:sz w:val="22"/>
          <w:szCs w:val="22"/>
        </w:rPr>
        <w:t>2117,3</w:t>
      </w:r>
      <w:r w:rsidR="00EE71BF">
        <w:rPr>
          <w:sz w:val="22"/>
          <w:szCs w:val="22"/>
        </w:rPr>
        <w:t xml:space="preserve"> </w:t>
      </w:r>
      <w:r w:rsidRPr="00B26BF3">
        <w:rPr>
          <w:sz w:val="22"/>
          <w:szCs w:val="22"/>
        </w:rPr>
        <w:t>руб.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Срок аренды: 10 лет.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Права на земельный участок, ограничения этих прав: отсутствуют.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Информация о расположенных в границах земельного участка объектах капитального строительства: объекты капитального строительства отсутствуют.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Предельные (максимальные и минимальные) размеры земельных участков определяются индивидуально на основе расчетных показателей, устанавливающих требования к земельному участку в соответствии с техническими регламентами.</w:t>
      </w:r>
    </w:p>
    <w:p w:rsidR="005826CF" w:rsidRPr="00B26BF3" w:rsidRDefault="00EE71BF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826CF" w:rsidRPr="00B26BF3">
        <w:rPr>
          <w:sz w:val="22"/>
          <w:szCs w:val="22"/>
        </w:rPr>
        <w:t>Минимальные отступы от границ земельного участка в целях определения места до</w:t>
      </w:r>
      <w:r w:rsidR="00896A0B">
        <w:rPr>
          <w:sz w:val="22"/>
          <w:szCs w:val="22"/>
        </w:rPr>
        <w:t>пустимого размещения объекта – 1</w:t>
      </w:r>
      <w:r w:rsidR="005826CF" w:rsidRPr="00B26BF3">
        <w:rPr>
          <w:sz w:val="22"/>
          <w:szCs w:val="22"/>
        </w:rPr>
        <w:t xml:space="preserve"> м.</w:t>
      </w:r>
    </w:p>
    <w:p w:rsidR="005826CF" w:rsidRPr="00B26BF3" w:rsidRDefault="00EE71BF" w:rsidP="0058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96A0B" w:rsidRPr="00EE71BF">
        <w:rPr>
          <w:color w:val="000000"/>
          <w:sz w:val="22"/>
          <w:szCs w:val="22"/>
        </w:rPr>
        <w:t>Предельное</w:t>
      </w:r>
      <w:r w:rsidR="00896A0B">
        <w:rPr>
          <w:sz w:val="20"/>
          <w:szCs w:val="20"/>
        </w:rPr>
        <w:t xml:space="preserve"> количество этажей – 30</w:t>
      </w:r>
      <w:r>
        <w:rPr>
          <w:sz w:val="20"/>
          <w:szCs w:val="20"/>
        </w:rPr>
        <w:t>.</w:t>
      </w:r>
    </w:p>
    <w:p w:rsidR="009E2586" w:rsidRDefault="009E2586" w:rsidP="005826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064B3">
        <w:rPr>
          <w:sz w:val="20"/>
          <w:szCs w:val="20"/>
        </w:rPr>
        <w:t>Максимальный процент застройки в границах земельного участка – 80 %</w:t>
      </w:r>
      <w:r>
        <w:rPr>
          <w:sz w:val="20"/>
          <w:szCs w:val="20"/>
        </w:rPr>
        <w:t>.</w:t>
      </w:r>
    </w:p>
    <w:p w:rsidR="005826CF" w:rsidRPr="00B26BF3" w:rsidRDefault="005826CF" w:rsidP="005826CF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отсутствует.</w:t>
      </w:r>
    </w:p>
    <w:p w:rsidR="005826CF" w:rsidRPr="005B483E" w:rsidRDefault="005826CF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F1149" w:rsidRPr="009F1149" w:rsidRDefault="009F1149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 xml:space="preserve">Дата и время начала приема заявок – </w:t>
      </w:r>
      <w:r w:rsidR="00A332B7">
        <w:rPr>
          <w:rStyle w:val="aff5"/>
          <w:b w:val="0"/>
          <w:sz w:val="22"/>
          <w:szCs w:val="22"/>
        </w:rPr>
        <w:t>07</w:t>
      </w:r>
      <w:r>
        <w:rPr>
          <w:rStyle w:val="aff5"/>
          <w:b w:val="0"/>
          <w:sz w:val="22"/>
          <w:szCs w:val="22"/>
        </w:rPr>
        <w:t xml:space="preserve"> </w:t>
      </w:r>
      <w:r w:rsidR="00290FD2">
        <w:rPr>
          <w:rStyle w:val="aff5"/>
          <w:b w:val="0"/>
          <w:sz w:val="22"/>
          <w:szCs w:val="22"/>
        </w:rPr>
        <w:t>августа</w:t>
      </w:r>
      <w:r w:rsidR="00D64C31">
        <w:rPr>
          <w:rStyle w:val="aff5"/>
          <w:b w:val="0"/>
          <w:sz w:val="22"/>
          <w:szCs w:val="22"/>
        </w:rPr>
        <w:t xml:space="preserve"> 2024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  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>Дата и время окончания приема заявок –</w:t>
      </w:r>
      <w:r w:rsidR="00290FD2">
        <w:rPr>
          <w:rStyle w:val="aff5"/>
          <w:b w:val="0"/>
          <w:sz w:val="22"/>
          <w:szCs w:val="22"/>
        </w:rPr>
        <w:t xml:space="preserve"> </w:t>
      </w:r>
      <w:r w:rsidR="00A332B7">
        <w:rPr>
          <w:rStyle w:val="aff5"/>
          <w:b w:val="0"/>
          <w:sz w:val="22"/>
          <w:szCs w:val="22"/>
        </w:rPr>
        <w:t>02</w:t>
      </w:r>
      <w:r w:rsidR="00DE6306">
        <w:rPr>
          <w:rStyle w:val="aff5"/>
          <w:b w:val="0"/>
          <w:sz w:val="22"/>
          <w:szCs w:val="22"/>
        </w:rPr>
        <w:t xml:space="preserve"> </w:t>
      </w:r>
      <w:r w:rsidR="00A332B7">
        <w:rPr>
          <w:rStyle w:val="aff5"/>
          <w:b w:val="0"/>
          <w:sz w:val="22"/>
          <w:szCs w:val="22"/>
        </w:rPr>
        <w:t>сентября</w:t>
      </w:r>
      <w:bookmarkStart w:id="0" w:name="_GoBack"/>
      <w:bookmarkEnd w:id="0"/>
      <w:r>
        <w:rPr>
          <w:rStyle w:val="aff5"/>
          <w:b w:val="0"/>
          <w:sz w:val="22"/>
          <w:szCs w:val="22"/>
        </w:rPr>
        <w:t xml:space="preserve"> 202</w:t>
      </w:r>
      <w:r w:rsidR="00D64C31">
        <w:rPr>
          <w:rStyle w:val="aff5"/>
          <w:b w:val="0"/>
          <w:sz w:val="22"/>
          <w:szCs w:val="22"/>
        </w:rPr>
        <w:t>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</w:t>
      </w:r>
    </w:p>
    <w:p w:rsidR="009A56CE" w:rsidRDefault="001512DA">
      <w:pPr>
        <w:ind w:firstLine="567"/>
        <w:jc w:val="both"/>
        <w:rPr>
          <w:rStyle w:val="af6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Подача заявок осуществляется круглосуточно.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Адрес места приема заявок - </w:t>
      </w:r>
      <w:r>
        <w:rPr>
          <w:rStyle w:val="aff5"/>
          <w:b w:val="0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12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b w:val="0"/>
          <w:sz w:val="22"/>
          <w:szCs w:val="22"/>
        </w:rPr>
        <w:t>Форма заявки, порядок ее приема:</w:t>
      </w:r>
    </w:p>
    <w:p w:rsidR="009A56CE" w:rsidRDefault="001512DA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9A56CE" w:rsidRDefault="001512DA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Par2"/>
      <w:bookmarkEnd w:id="1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9A56CE" w:rsidRDefault="001512DA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 – с </w:t>
      </w:r>
      <w:r w:rsidR="002C607D">
        <w:rPr>
          <w:sz w:val="22"/>
          <w:szCs w:val="22"/>
        </w:rPr>
        <w:t xml:space="preserve">7 </w:t>
      </w:r>
      <w:r w:rsidR="003276F6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="00D64C31">
        <w:rPr>
          <w:sz w:val="22"/>
          <w:szCs w:val="22"/>
        </w:rPr>
        <w:t>2024</w:t>
      </w:r>
      <w:r>
        <w:rPr>
          <w:sz w:val="22"/>
          <w:szCs w:val="22"/>
        </w:rPr>
        <w:t xml:space="preserve"> по </w:t>
      </w:r>
      <w:r w:rsidR="002C607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2C607D">
        <w:rPr>
          <w:sz w:val="22"/>
          <w:szCs w:val="22"/>
        </w:rPr>
        <w:t>сентября</w:t>
      </w:r>
      <w:r w:rsidR="00D64C31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до момента подачи заявителем заявки.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 xml:space="preserve">ПОЛУЧАТЕЛЬ: Наименование: АО «Сбербанк-АСТ»,  ИНН: </w:t>
      </w:r>
      <w:r>
        <w:rPr>
          <w:rFonts w:eastAsia="Calibri"/>
          <w:sz w:val="22"/>
          <w:szCs w:val="22"/>
        </w:rPr>
        <w:lastRenderedPageBreak/>
        <w:t>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http://utp.sberbank-ast.ru в разделе «Информация по ТС» </w:t>
      </w:r>
      <w:r>
        <w:rPr>
          <w:rStyle w:val="aff5"/>
          <w:b w:val="0"/>
          <w:sz w:val="22"/>
          <w:szCs w:val="22"/>
        </w:rPr>
        <w:t>торговой секции «Приватизация, аренда и продажа прав»</w:t>
      </w:r>
      <w:r>
        <w:rPr>
          <w:rStyle w:val="aff5"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которого  организатором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Дата, время и место рассмотрения заявок на участие в аукционе: </w:t>
      </w:r>
      <w:r w:rsidR="002C607D">
        <w:rPr>
          <w:rStyle w:val="af6"/>
          <w:sz w:val="22"/>
          <w:szCs w:val="22"/>
        </w:rPr>
        <w:t>04</w:t>
      </w:r>
      <w:r w:rsidR="00E66FB9">
        <w:rPr>
          <w:rStyle w:val="af6"/>
          <w:sz w:val="22"/>
          <w:szCs w:val="22"/>
        </w:rPr>
        <w:t xml:space="preserve"> </w:t>
      </w:r>
      <w:r w:rsidR="003248FE">
        <w:rPr>
          <w:rStyle w:val="af6"/>
          <w:b w:val="0"/>
          <w:sz w:val="22"/>
          <w:szCs w:val="22"/>
        </w:rPr>
        <w:t>сентября</w:t>
      </w:r>
      <w:r>
        <w:rPr>
          <w:rStyle w:val="af6"/>
          <w:sz w:val="22"/>
          <w:szCs w:val="22"/>
        </w:rPr>
        <w:t xml:space="preserve"> </w:t>
      </w:r>
      <w:r>
        <w:rPr>
          <w:rStyle w:val="af6"/>
          <w:b w:val="0"/>
          <w:sz w:val="22"/>
          <w:szCs w:val="22"/>
        </w:rPr>
        <w:t>20</w:t>
      </w:r>
      <w:r w:rsidR="00D64C31">
        <w:rPr>
          <w:rStyle w:val="aff5"/>
          <w:b w:val="0"/>
          <w:sz w:val="22"/>
          <w:szCs w:val="22"/>
        </w:rPr>
        <w:t>24</w:t>
      </w:r>
      <w:r>
        <w:rPr>
          <w:rStyle w:val="aff5"/>
          <w:b w:val="0"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в 10 часов 00 минут </w:t>
      </w:r>
      <w:r>
        <w:rPr>
          <w:rStyle w:val="aff5"/>
          <w:b w:val="0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муниципального округа по адресу: Приморский край, пгт. Терней, ул. Ивановская, 2.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непоступление задатка на дату рассмотрения заявок на участие в аукционе;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9A56CE" w:rsidRDefault="001512DA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Style w:val="af6"/>
          <w:sz w:val="22"/>
          <w:szCs w:val="22"/>
        </w:rPr>
        <w:t>Порядок проведения аукциона:</w:t>
      </w:r>
    </w:p>
    <w:p w:rsidR="009A56CE" w:rsidRDefault="001512DA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Время для подачи предложений о цене определяется в следующем порядке: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56CE" w:rsidRDefault="001512DA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- представленное участником аукциона предложение о цене является лучшим текущим предложением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9A56CE" w:rsidRDefault="001512DA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9A56CE" w:rsidRDefault="001512DA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9A56CE" w:rsidRDefault="001512DA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победителем  аукциона в ходе проведения такого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Ознакомление с документацией</w:t>
      </w:r>
      <w:r>
        <w:rPr>
          <w:rStyle w:val="af6"/>
          <w:b w:val="0"/>
          <w:sz w:val="22"/>
          <w:szCs w:val="22"/>
        </w:rPr>
        <w:t xml:space="preserve"> </w:t>
      </w:r>
      <w:r>
        <w:rPr>
          <w:rStyle w:val="af6"/>
          <w:sz w:val="22"/>
          <w:szCs w:val="22"/>
        </w:rPr>
        <w:t xml:space="preserve">на земельный участок </w:t>
      </w:r>
      <w:r>
        <w:rPr>
          <w:rStyle w:val="af6"/>
          <w:b w:val="0"/>
          <w:sz w:val="22"/>
          <w:szCs w:val="22"/>
        </w:rPr>
        <w:t xml:space="preserve">и условиями договоров аренды земельного  участка </w:t>
      </w:r>
      <w:r>
        <w:rPr>
          <w:sz w:val="22"/>
          <w:szCs w:val="22"/>
        </w:rPr>
        <w:t>осуществляется в отделе земельных и имущественных отношений администрации Тернейского муниципального округа по адресу: Приморский край, пгт. Терней, ул. Ивановская, 2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9A56CE" w:rsidRDefault="001512DA">
      <w:pPr>
        <w:pStyle w:val="af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f6"/>
          <w:b w:val="0"/>
          <w:sz w:val="22"/>
          <w:szCs w:val="22"/>
        </w:rPr>
        <w:t>роект договора аренды земельного участка  размещены в сети Интернет</w:t>
      </w:r>
      <w:r>
        <w:rPr>
          <w:rStyle w:val="af6"/>
          <w:sz w:val="22"/>
          <w:szCs w:val="22"/>
        </w:rPr>
        <w:t xml:space="preserve"> </w:t>
      </w:r>
      <w:r>
        <w:rPr>
          <w:rStyle w:val="af7"/>
          <w:color w:val="auto"/>
          <w:sz w:val="22"/>
          <w:szCs w:val="22"/>
          <w:u w:val="none"/>
        </w:rPr>
        <w:t xml:space="preserve">на сайте </w:t>
      </w:r>
      <w:r>
        <w:rPr>
          <w:rStyle w:val="aff5"/>
          <w:b w:val="0"/>
          <w:sz w:val="22"/>
          <w:szCs w:val="22"/>
        </w:rPr>
        <w:t xml:space="preserve">универсальной торговой платформы АО «Сбербанк-АСТ» </w:t>
      </w:r>
      <w:hyperlink r:id="rId13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sz w:val="22"/>
          <w:szCs w:val="22"/>
        </w:rPr>
        <w:t xml:space="preserve"> </w:t>
      </w:r>
      <w:r>
        <w:rPr>
          <w:rStyle w:val="aff5"/>
          <w:b w:val="0"/>
          <w:sz w:val="22"/>
          <w:szCs w:val="22"/>
        </w:rPr>
        <w:t>(торговая секция «Приватизация, аренда и продажа прав»), в</w:t>
      </w:r>
      <w:r>
        <w:rPr>
          <w:rStyle w:val="aff5"/>
          <w:sz w:val="22"/>
          <w:szCs w:val="22"/>
        </w:rPr>
        <w:t xml:space="preserve">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4" w:tooltip="http://www.torgi.gov.ru" w:history="1">
        <w:r>
          <w:rPr>
            <w:rStyle w:val="af7"/>
            <w:color w:val="auto"/>
            <w:sz w:val="22"/>
            <w:szCs w:val="22"/>
            <w:u w:val="none"/>
          </w:rPr>
          <w:t>www.torgi.gov.ru»</w:t>
        </w:r>
      </w:hyperlink>
      <w:r>
        <w:rPr>
          <w:rStyle w:val="af7"/>
          <w:color w:val="auto"/>
          <w:sz w:val="22"/>
          <w:szCs w:val="22"/>
          <w:u w:val="none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9A56CE" w:rsidRDefault="009A56CE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:rsidR="009A56CE" w:rsidRDefault="009A56CE">
      <w:pPr>
        <w:jc w:val="center"/>
        <w:rPr>
          <w:sz w:val="22"/>
          <w:szCs w:val="22"/>
        </w:rPr>
      </w:pPr>
    </w:p>
    <w:tbl>
      <w:tblPr>
        <w:tblW w:w="11359" w:type="dxa"/>
        <w:tblLook w:val="00A0" w:firstRow="1" w:lastRow="0" w:firstColumn="1" w:lastColumn="0" w:noHBand="0" w:noVBand="0"/>
      </w:tblPr>
      <w:tblGrid>
        <w:gridCol w:w="3147"/>
        <w:gridCol w:w="4049"/>
        <w:gridCol w:w="4163"/>
      </w:tblGrid>
      <w:tr w:rsidR="009A56CE">
        <w:trPr>
          <w:trHeight w:val="1269"/>
        </w:trPr>
        <w:tc>
          <w:tcPr>
            <w:tcW w:w="3147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163" w:type="dxa"/>
          </w:tcPr>
          <w:p w:rsidR="009A56CE" w:rsidRDefault="009A56CE">
            <w:pPr>
              <w:pStyle w:val="26"/>
              <w:shd w:val="clear" w:color="auto" w:fill="auto"/>
              <w:rPr>
                <w:sz w:val="18"/>
                <w:szCs w:val="18"/>
              </w:rPr>
            </w:pPr>
          </w:p>
          <w:p w:rsidR="009A56CE" w:rsidRDefault="001512DA">
            <w:pPr>
              <w:pStyle w:val="2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9A56CE" w:rsidRDefault="001512DA">
            <w:pPr>
              <w:pStyle w:val="26"/>
              <w:shd w:val="clear" w:color="auto" w:fill="auto"/>
              <w:tabs>
                <w:tab w:val="left" w:pos="78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извещению о проведении аукциона</w:t>
            </w:r>
          </w:p>
        </w:tc>
      </w:tr>
    </w:tbl>
    <w:p w:rsidR="009A56CE" w:rsidRDefault="001512DA">
      <w:pPr>
        <w:jc w:val="center"/>
      </w:pPr>
      <w:r>
        <w:t>ФОРМА ЗАЯВКИ</w:t>
      </w:r>
    </w:p>
    <w:p w:rsidR="009A56CE" w:rsidRDefault="009A56CE">
      <w:pPr>
        <w:jc w:val="center"/>
      </w:pPr>
    </w:p>
    <w:p w:rsidR="009A56CE" w:rsidRDefault="009A56CE">
      <w:pPr>
        <w:spacing w:line="276" w:lineRule="auto"/>
        <w:jc w:val="right"/>
        <w:rPr>
          <w:rFonts w:eastAsia="Calibri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9A56CE">
        <w:trPr>
          <w:jc w:val="right"/>
        </w:trPr>
        <w:tc>
          <w:tcPr>
            <w:tcW w:w="3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Тернейского муниципального округа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Приморского края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56CE" w:rsidRDefault="001512D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органа, предоставляющего муниципальную услугу)</w:t>
            </w:r>
          </w:p>
        </w:tc>
      </w:tr>
    </w:tbl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ЗАЯВКА</w:t>
      </w:r>
    </w:p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участие в аукционе</w:t>
      </w:r>
    </w:p>
    <w:p w:rsidR="009A56CE" w:rsidRDefault="001512DA">
      <w:pPr>
        <w:spacing w:after="12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ЛОТ №____</w:t>
      </w:r>
    </w:p>
    <w:p w:rsidR="009A56CE" w:rsidRDefault="001512DA">
      <w:pPr>
        <w:spacing w:after="120"/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u w:val="single"/>
          <w:lang w:eastAsia="en-US"/>
        </w:rPr>
        <w:t>__________________________________________________________________________________</w:t>
      </w:r>
    </w:p>
    <w:p w:rsidR="009A56CE" w:rsidRDefault="001512DA">
      <w:pPr>
        <w:spacing w:line="276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>
        <w:rPr>
          <w:rFonts w:eastAsia="Calibri"/>
          <w:i/>
          <w:lang w:eastAsia="en-US"/>
        </w:rPr>
        <w:br/>
        <w:t>для юридического лица или индивидуального предпринимателя)</w:t>
      </w:r>
    </w:p>
    <w:p w:rsidR="009A56CE" w:rsidRDefault="001512DA">
      <w:pPr>
        <w:tabs>
          <w:tab w:val="left" w:pos="567"/>
        </w:tabs>
        <w:jc w:val="both"/>
      </w:pPr>
      <w:r>
        <w:t xml:space="preserve">в лице ______________________________________________, действующего на основании </w:t>
      </w:r>
    </w:p>
    <w:p w:rsidR="009A56CE" w:rsidRDefault="001512DA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                    (Фамилия, имя, отчество представителя или руководителя организации (при наличии)</w:t>
      </w:r>
    </w:p>
    <w:p w:rsidR="009A56CE" w:rsidRDefault="001512DA">
      <w:pPr>
        <w:tabs>
          <w:tab w:val="left" w:pos="567"/>
        </w:tabs>
        <w:jc w:val="both"/>
      </w:pPr>
      <w:r>
        <w:t>___________________________________________________________ (далее – Заявитель),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rPr>
          <w:i/>
        </w:rPr>
        <w:t>(Дата и номер документа, подтверждающего полномочия представителя)</w:t>
      </w:r>
    </w:p>
    <w:p w:rsidR="009A56CE" w:rsidRDefault="001512DA">
      <w:pPr>
        <w:tabs>
          <w:tab w:val="left" w:pos="567"/>
        </w:tabs>
        <w:jc w:val="both"/>
        <w:rPr>
          <w:u w:val="single"/>
        </w:rPr>
      </w:pPr>
      <w:r>
        <w:t xml:space="preserve">ознакомившись с извещением о проведении аукциона по продаже земельного участка или </w:t>
      </w:r>
      <w:r>
        <w:rPr>
          <w:u w:val="single"/>
        </w:rPr>
        <w:t>права на заключение договора аренды земельного участка</w:t>
      </w:r>
      <w:r>
        <w:t xml:space="preserve"> (</w:t>
      </w:r>
      <w:r>
        <w:rPr>
          <w:i/>
        </w:rPr>
        <w:t>нужное подчеркнуть</w:t>
      </w:r>
      <w:r>
        <w:t>) _______________________________________________________________________________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t>(</w:t>
      </w:r>
      <w:r>
        <w:rPr>
          <w:i/>
        </w:rPr>
        <w:t>указать цель использования земельного участка в соответствии с извещением о проведении аукциона)</w:t>
      </w:r>
    </w:p>
    <w:p w:rsidR="009A56CE" w:rsidRDefault="001512DA">
      <w:pPr>
        <w:tabs>
          <w:tab w:val="left" w:pos="567"/>
        </w:tabs>
        <w:jc w:val="both"/>
      </w:pPr>
      <w:r>
        <w:t>с кадастровым номером: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___________</w:t>
      </w:r>
      <w:r>
        <w:t xml:space="preserve">, площадью </w:t>
      </w:r>
      <w:r>
        <w:rPr>
          <w:b/>
          <w:u w:val="single"/>
        </w:rPr>
        <w:t>_____</w:t>
      </w:r>
      <w:r>
        <w:rPr>
          <w:b/>
        </w:rPr>
        <w:t xml:space="preserve"> кв. м</w:t>
      </w:r>
      <w:r>
        <w:t xml:space="preserve">, местоположение земельного участка: </w:t>
      </w:r>
      <w:r>
        <w:rPr>
          <w:u w:val="single"/>
        </w:rPr>
        <w:t>__________________________________________________________________________</w:t>
      </w:r>
      <w:r>
        <w:t>, настоящей заявкой подтверждает свое намерение участвовать в аукционе.</w:t>
      </w:r>
    </w:p>
    <w:p w:rsidR="009A56CE" w:rsidRDefault="001512DA">
      <w:pPr>
        <w:tabs>
          <w:tab w:val="left" w:pos="567"/>
        </w:tabs>
        <w:ind w:firstLine="567"/>
        <w:jc w:val="both"/>
      </w:pPr>
      <w: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>
        <w:rPr>
          <w:bCs/>
          <w:color w:val="111111"/>
        </w:rPr>
        <w:t xml:space="preserve">аренды </w:t>
      </w:r>
      <w:r>
        <w:t>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подтверждает, что на дату подписания настоящей заявки он ознакомлен с п</w:t>
      </w:r>
      <w:r>
        <w:rPr>
          <w:bCs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t xml:space="preserve">была предоставлена возможность ознакомиться с состоянием Участка в результате осмотра, который Заявитель </w:t>
      </w:r>
      <w:r>
        <w:rPr>
          <w:rFonts w:cs="Courier New"/>
        </w:rPr>
        <w:t>(представитель заявителя)</w:t>
      </w:r>
      <w: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>
        <w:rPr>
          <w:rFonts w:cs="Courier New"/>
        </w:rPr>
        <w:t xml:space="preserve">(представитель заявителя) </w:t>
      </w:r>
      <w:r>
        <w:t>к организатору аукциона не имеет.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 xml:space="preserve">подтверждает, что на дату подписания настоящей заявки он ознакомлен с порядком отмены аукциона. 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>согласен на участие в аукционе на условиях, указанных в извещении о проведении аукциона.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В случае признания победителем аукциона, Заявитель </w:t>
      </w:r>
      <w:r>
        <w:rPr>
          <w:rFonts w:cs="Courier New"/>
        </w:rPr>
        <w:t xml:space="preserve">(представитель заявителя) </w:t>
      </w:r>
      <w:r>
        <w:t>обязуется: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lastRenderedPageBreak/>
        <w:t>– произвести за свой счет государственную регистрацию договора аренды (купли-продажи) 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осведомлен о том, что он вправе отозвать настоящую заявку.</w:t>
      </w:r>
    </w:p>
    <w:p w:rsidR="009A56CE" w:rsidRDefault="001512D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Заявитель </w:t>
      </w:r>
      <w:r>
        <w:rPr>
          <w:rFonts w:cs="Courier New"/>
        </w:rPr>
        <w:t>(представитель заявителя)</w:t>
      </w:r>
      <w:r>
        <w:rPr>
          <w:color w:val="000000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9A56CE" w:rsidRDefault="001512DA">
      <w:pPr>
        <w:ind w:firstLine="567"/>
        <w:jc w:val="both"/>
      </w:pPr>
      <w:r>
        <w:t xml:space="preserve">Уведомление Заявителя обо всех изменениях в порядке и сроках проведения аукциона осуществляется по следующему адресу и следующим способом: 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Почтовый адрес: </w:t>
      </w:r>
      <w:r>
        <w:rPr>
          <w:u w:val="single"/>
        </w:rPr>
        <w:t>__________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тел: </w:t>
      </w:r>
      <w:r>
        <w:rPr>
          <w:u w:val="single"/>
        </w:rPr>
        <w:t>_______________</w:t>
      </w:r>
    </w:p>
    <w:p w:rsidR="009A56CE" w:rsidRDefault="001512DA">
      <w:pPr>
        <w:ind w:firstLine="567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(ФИО/наименование юр. лица):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(для юр. лица дополнительно указывается КПП) 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счета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банка: _________________________________________________________________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банка: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ind w:firstLine="567"/>
        <w:jc w:val="both"/>
      </w:pPr>
      <w:r>
        <w:t xml:space="preserve">Кор/счет банка: </w:t>
      </w:r>
      <w:r>
        <w:rPr>
          <w:b/>
        </w:rPr>
        <w:t>__________________________________________________________</w:t>
      </w: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1512DA">
      <w:pPr>
        <w:ind w:firstLine="567"/>
        <w:jc w:val="both"/>
      </w:pPr>
      <w:r>
        <w:rPr>
          <w:b/>
        </w:rPr>
        <w:t>Приложение:</w:t>
      </w:r>
      <w:r>
        <w:t xml:space="preserve"> 1. Копия паспорт РФ</w:t>
      </w:r>
    </w:p>
    <w:p w:rsidR="009A56CE" w:rsidRDefault="001512DA">
      <w:pPr>
        <w:tabs>
          <w:tab w:val="left" w:pos="1770"/>
        </w:tabs>
        <w:ind w:firstLine="567"/>
        <w:jc w:val="both"/>
      </w:pPr>
      <w:r>
        <w:t>2. Квитанция об оплате задатка.</w:t>
      </w: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1512DA">
      <w:pPr>
        <w:tabs>
          <w:tab w:val="left" w:pos="1770"/>
        </w:tabs>
        <w:ind w:firstLine="567"/>
        <w:jc w:val="both"/>
      </w:pPr>
      <w:r>
        <w:t>Подпись Заявителя__________________</w:t>
      </w:r>
    </w:p>
    <w:p w:rsidR="009A56CE" w:rsidRDefault="001512DA">
      <w:pPr>
        <w:ind w:firstLine="567"/>
        <w:jc w:val="both"/>
      </w:pPr>
      <w:r>
        <w:t>(полномочного представителя Заявителя)</w:t>
      </w:r>
    </w:p>
    <w:p w:rsidR="009A56CE" w:rsidRDefault="009A56CE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</w:p>
    <w:sectPr w:rsidR="009A56CE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C5" w:rsidRDefault="000151C5">
      <w:r>
        <w:separator/>
      </w:r>
    </w:p>
  </w:endnote>
  <w:endnote w:type="continuationSeparator" w:id="0">
    <w:p w:rsidR="000151C5" w:rsidRDefault="000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C5" w:rsidRDefault="000151C5">
      <w:r>
        <w:separator/>
      </w:r>
    </w:p>
  </w:footnote>
  <w:footnote w:type="continuationSeparator" w:id="0">
    <w:p w:rsidR="000151C5" w:rsidRDefault="0001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3CA"/>
    <w:multiLevelType w:val="hybridMultilevel"/>
    <w:tmpl w:val="D854A8DE"/>
    <w:lvl w:ilvl="0" w:tplc="EDE86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6E38A">
      <w:start w:val="1"/>
      <w:numFmt w:val="lowerLetter"/>
      <w:lvlText w:val="%2."/>
      <w:lvlJc w:val="left"/>
      <w:pPr>
        <w:ind w:left="1440" w:hanging="360"/>
      </w:pPr>
    </w:lvl>
    <w:lvl w:ilvl="2" w:tplc="CF7089CA">
      <w:start w:val="1"/>
      <w:numFmt w:val="lowerRoman"/>
      <w:lvlText w:val="%3."/>
      <w:lvlJc w:val="right"/>
      <w:pPr>
        <w:ind w:left="2160" w:hanging="180"/>
      </w:pPr>
    </w:lvl>
    <w:lvl w:ilvl="3" w:tplc="AE1E4D9A">
      <w:start w:val="1"/>
      <w:numFmt w:val="decimal"/>
      <w:lvlText w:val="%4."/>
      <w:lvlJc w:val="left"/>
      <w:pPr>
        <w:ind w:left="2880" w:hanging="360"/>
      </w:pPr>
    </w:lvl>
    <w:lvl w:ilvl="4" w:tplc="865CEBCA">
      <w:start w:val="1"/>
      <w:numFmt w:val="lowerLetter"/>
      <w:lvlText w:val="%5."/>
      <w:lvlJc w:val="left"/>
      <w:pPr>
        <w:ind w:left="3600" w:hanging="360"/>
      </w:pPr>
    </w:lvl>
    <w:lvl w:ilvl="5" w:tplc="33966B6E">
      <w:start w:val="1"/>
      <w:numFmt w:val="lowerRoman"/>
      <w:lvlText w:val="%6."/>
      <w:lvlJc w:val="right"/>
      <w:pPr>
        <w:ind w:left="4320" w:hanging="180"/>
      </w:pPr>
    </w:lvl>
    <w:lvl w:ilvl="6" w:tplc="F8404A0C">
      <w:start w:val="1"/>
      <w:numFmt w:val="decimal"/>
      <w:lvlText w:val="%7."/>
      <w:lvlJc w:val="left"/>
      <w:pPr>
        <w:ind w:left="5040" w:hanging="360"/>
      </w:pPr>
    </w:lvl>
    <w:lvl w:ilvl="7" w:tplc="3336E6F8">
      <w:start w:val="1"/>
      <w:numFmt w:val="lowerLetter"/>
      <w:lvlText w:val="%8."/>
      <w:lvlJc w:val="left"/>
      <w:pPr>
        <w:ind w:left="5760" w:hanging="360"/>
      </w:pPr>
    </w:lvl>
    <w:lvl w:ilvl="8" w:tplc="5B16E6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4DC"/>
    <w:multiLevelType w:val="hybridMultilevel"/>
    <w:tmpl w:val="AF5620D6"/>
    <w:lvl w:ilvl="0" w:tplc="3CF8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028324">
      <w:start w:val="1"/>
      <w:numFmt w:val="lowerLetter"/>
      <w:lvlText w:val="%2."/>
      <w:lvlJc w:val="left"/>
      <w:pPr>
        <w:ind w:left="1647" w:hanging="360"/>
      </w:pPr>
    </w:lvl>
    <w:lvl w:ilvl="2" w:tplc="81783B48">
      <w:start w:val="1"/>
      <w:numFmt w:val="lowerRoman"/>
      <w:lvlText w:val="%3."/>
      <w:lvlJc w:val="right"/>
      <w:pPr>
        <w:ind w:left="2367" w:hanging="180"/>
      </w:pPr>
    </w:lvl>
    <w:lvl w:ilvl="3" w:tplc="BAB2B106">
      <w:start w:val="1"/>
      <w:numFmt w:val="decimal"/>
      <w:lvlText w:val="%4."/>
      <w:lvlJc w:val="left"/>
      <w:pPr>
        <w:ind w:left="3087" w:hanging="360"/>
      </w:pPr>
    </w:lvl>
    <w:lvl w:ilvl="4" w:tplc="CCBCFCDE">
      <w:start w:val="1"/>
      <w:numFmt w:val="lowerLetter"/>
      <w:lvlText w:val="%5."/>
      <w:lvlJc w:val="left"/>
      <w:pPr>
        <w:ind w:left="3807" w:hanging="360"/>
      </w:pPr>
    </w:lvl>
    <w:lvl w:ilvl="5" w:tplc="947A7352">
      <w:start w:val="1"/>
      <w:numFmt w:val="lowerRoman"/>
      <w:lvlText w:val="%6."/>
      <w:lvlJc w:val="right"/>
      <w:pPr>
        <w:ind w:left="4527" w:hanging="180"/>
      </w:pPr>
    </w:lvl>
    <w:lvl w:ilvl="6" w:tplc="923A4A6C">
      <w:start w:val="1"/>
      <w:numFmt w:val="decimal"/>
      <w:lvlText w:val="%7."/>
      <w:lvlJc w:val="left"/>
      <w:pPr>
        <w:ind w:left="5247" w:hanging="360"/>
      </w:pPr>
    </w:lvl>
    <w:lvl w:ilvl="7" w:tplc="7D989604">
      <w:start w:val="1"/>
      <w:numFmt w:val="lowerLetter"/>
      <w:lvlText w:val="%8."/>
      <w:lvlJc w:val="left"/>
      <w:pPr>
        <w:ind w:left="5967" w:hanging="360"/>
      </w:pPr>
    </w:lvl>
    <w:lvl w:ilvl="8" w:tplc="A40AA70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E766F"/>
    <w:multiLevelType w:val="hybridMultilevel"/>
    <w:tmpl w:val="915ABF94"/>
    <w:lvl w:ilvl="0" w:tplc="10F01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160C70">
      <w:start w:val="1"/>
      <w:numFmt w:val="lowerLetter"/>
      <w:lvlText w:val="%2."/>
      <w:lvlJc w:val="left"/>
      <w:pPr>
        <w:ind w:left="1620" w:hanging="360"/>
      </w:pPr>
    </w:lvl>
    <w:lvl w:ilvl="2" w:tplc="772C3C62">
      <w:start w:val="1"/>
      <w:numFmt w:val="lowerRoman"/>
      <w:lvlText w:val="%3."/>
      <w:lvlJc w:val="right"/>
      <w:pPr>
        <w:ind w:left="2340" w:hanging="180"/>
      </w:pPr>
    </w:lvl>
    <w:lvl w:ilvl="3" w:tplc="01B6E6DA">
      <w:start w:val="1"/>
      <w:numFmt w:val="decimal"/>
      <w:lvlText w:val="%4."/>
      <w:lvlJc w:val="left"/>
      <w:pPr>
        <w:ind w:left="3060" w:hanging="360"/>
      </w:pPr>
    </w:lvl>
    <w:lvl w:ilvl="4" w:tplc="D0307016">
      <w:start w:val="1"/>
      <w:numFmt w:val="lowerLetter"/>
      <w:lvlText w:val="%5."/>
      <w:lvlJc w:val="left"/>
      <w:pPr>
        <w:ind w:left="3780" w:hanging="360"/>
      </w:pPr>
    </w:lvl>
    <w:lvl w:ilvl="5" w:tplc="6DB894DE">
      <w:start w:val="1"/>
      <w:numFmt w:val="lowerRoman"/>
      <w:lvlText w:val="%6."/>
      <w:lvlJc w:val="right"/>
      <w:pPr>
        <w:ind w:left="4500" w:hanging="180"/>
      </w:pPr>
    </w:lvl>
    <w:lvl w:ilvl="6" w:tplc="7BD08008">
      <w:start w:val="1"/>
      <w:numFmt w:val="decimal"/>
      <w:lvlText w:val="%7."/>
      <w:lvlJc w:val="left"/>
      <w:pPr>
        <w:ind w:left="5220" w:hanging="360"/>
      </w:pPr>
    </w:lvl>
    <w:lvl w:ilvl="7" w:tplc="17488246">
      <w:start w:val="1"/>
      <w:numFmt w:val="lowerLetter"/>
      <w:lvlText w:val="%8."/>
      <w:lvlJc w:val="left"/>
      <w:pPr>
        <w:ind w:left="5940" w:hanging="360"/>
      </w:pPr>
    </w:lvl>
    <w:lvl w:ilvl="8" w:tplc="507C02C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F7B16"/>
    <w:multiLevelType w:val="hybridMultilevel"/>
    <w:tmpl w:val="909297DE"/>
    <w:lvl w:ilvl="0" w:tplc="86D667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B0AC106">
      <w:start w:val="1"/>
      <w:numFmt w:val="lowerLetter"/>
      <w:lvlText w:val="%2."/>
      <w:lvlJc w:val="left"/>
      <w:pPr>
        <w:ind w:left="1619" w:hanging="360"/>
      </w:pPr>
    </w:lvl>
    <w:lvl w:ilvl="2" w:tplc="A9DE322A">
      <w:start w:val="1"/>
      <w:numFmt w:val="lowerRoman"/>
      <w:lvlText w:val="%3."/>
      <w:lvlJc w:val="right"/>
      <w:pPr>
        <w:ind w:left="2339" w:hanging="180"/>
      </w:pPr>
    </w:lvl>
    <w:lvl w:ilvl="3" w:tplc="D6BA3C34">
      <w:start w:val="1"/>
      <w:numFmt w:val="decimal"/>
      <w:lvlText w:val="%4."/>
      <w:lvlJc w:val="left"/>
      <w:pPr>
        <w:ind w:left="3059" w:hanging="360"/>
      </w:pPr>
    </w:lvl>
    <w:lvl w:ilvl="4" w:tplc="242AD566">
      <w:start w:val="1"/>
      <w:numFmt w:val="lowerLetter"/>
      <w:lvlText w:val="%5."/>
      <w:lvlJc w:val="left"/>
      <w:pPr>
        <w:ind w:left="3779" w:hanging="360"/>
      </w:pPr>
    </w:lvl>
    <w:lvl w:ilvl="5" w:tplc="2E22512C">
      <w:start w:val="1"/>
      <w:numFmt w:val="lowerRoman"/>
      <w:lvlText w:val="%6."/>
      <w:lvlJc w:val="right"/>
      <w:pPr>
        <w:ind w:left="4499" w:hanging="180"/>
      </w:pPr>
    </w:lvl>
    <w:lvl w:ilvl="6" w:tplc="8618A534">
      <w:start w:val="1"/>
      <w:numFmt w:val="decimal"/>
      <w:lvlText w:val="%7."/>
      <w:lvlJc w:val="left"/>
      <w:pPr>
        <w:ind w:left="5219" w:hanging="360"/>
      </w:pPr>
    </w:lvl>
    <w:lvl w:ilvl="7" w:tplc="5F2EF318">
      <w:start w:val="1"/>
      <w:numFmt w:val="lowerLetter"/>
      <w:lvlText w:val="%8."/>
      <w:lvlJc w:val="left"/>
      <w:pPr>
        <w:ind w:left="5939" w:hanging="360"/>
      </w:pPr>
    </w:lvl>
    <w:lvl w:ilvl="8" w:tplc="AA2CC4B0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0720427"/>
    <w:multiLevelType w:val="hybridMultilevel"/>
    <w:tmpl w:val="18689784"/>
    <w:lvl w:ilvl="0" w:tplc="21BEE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7EF60A9E">
      <w:start w:val="1"/>
      <w:numFmt w:val="lowerLetter"/>
      <w:lvlText w:val="%2."/>
      <w:lvlJc w:val="left"/>
      <w:pPr>
        <w:ind w:left="1619" w:hanging="360"/>
      </w:pPr>
    </w:lvl>
    <w:lvl w:ilvl="2" w:tplc="AB2C3C02">
      <w:start w:val="1"/>
      <w:numFmt w:val="lowerRoman"/>
      <w:lvlText w:val="%3."/>
      <w:lvlJc w:val="right"/>
      <w:pPr>
        <w:ind w:left="2339" w:hanging="180"/>
      </w:pPr>
    </w:lvl>
    <w:lvl w:ilvl="3" w:tplc="ABE26DE0">
      <w:start w:val="1"/>
      <w:numFmt w:val="decimal"/>
      <w:lvlText w:val="%4."/>
      <w:lvlJc w:val="left"/>
      <w:pPr>
        <w:ind w:left="3059" w:hanging="360"/>
      </w:pPr>
    </w:lvl>
    <w:lvl w:ilvl="4" w:tplc="A0BE176A">
      <w:start w:val="1"/>
      <w:numFmt w:val="lowerLetter"/>
      <w:lvlText w:val="%5."/>
      <w:lvlJc w:val="left"/>
      <w:pPr>
        <w:ind w:left="3779" w:hanging="360"/>
      </w:pPr>
    </w:lvl>
    <w:lvl w:ilvl="5" w:tplc="9FA85EB2">
      <w:start w:val="1"/>
      <w:numFmt w:val="lowerRoman"/>
      <w:lvlText w:val="%6."/>
      <w:lvlJc w:val="right"/>
      <w:pPr>
        <w:ind w:left="4499" w:hanging="180"/>
      </w:pPr>
    </w:lvl>
    <w:lvl w:ilvl="6" w:tplc="33409D4E">
      <w:start w:val="1"/>
      <w:numFmt w:val="decimal"/>
      <w:lvlText w:val="%7."/>
      <w:lvlJc w:val="left"/>
      <w:pPr>
        <w:ind w:left="5219" w:hanging="360"/>
      </w:pPr>
    </w:lvl>
    <w:lvl w:ilvl="7" w:tplc="4672E492">
      <w:start w:val="1"/>
      <w:numFmt w:val="lowerLetter"/>
      <w:lvlText w:val="%8."/>
      <w:lvlJc w:val="left"/>
      <w:pPr>
        <w:ind w:left="5939" w:hanging="360"/>
      </w:pPr>
    </w:lvl>
    <w:lvl w:ilvl="8" w:tplc="404045F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37C1B10"/>
    <w:multiLevelType w:val="hybridMultilevel"/>
    <w:tmpl w:val="DC1CB8D6"/>
    <w:lvl w:ilvl="0" w:tplc="9D1A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A0F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AC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0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08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81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9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5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4C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CE"/>
    <w:rsid w:val="000044F7"/>
    <w:rsid w:val="000151C5"/>
    <w:rsid w:val="00045692"/>
    <w:rsid w:val="000915B5"/>
    <w:rsid w:val="000B00C1"/>
    <w:rsid w:val="000D766E"/>
    <w:rsid w:val="000F18A0"/>
    <w:rsid w:val="001512DA"/>
    <w:rsid w:val="00186A63"/>
    <w:rsid w:val="001A1C89"/>
    <w:rsid w:val="001B275B"/>
    <w:rsid w:val="001B56D1"/>
    <w:rsid w:val="001C20AE"/>
    <w:rsid w:val="00221B23"/>
    <w:rsid w:val="00231211"/>
    <w:rsid w:val="00285488"/>
    <w:rsid w:val="00290FD2"/>
    <w:rsid w:val="002A4BF7"/>
    <w:rsid w:val="002C607D"/>
    <w:rsid w:val="003248FE"/>
    <w:rsid w:val="003276F6"/>
    <w:rsid w:val="00335D80"/>
    <w:rsid w:val="00357246"/>
    <w:rsid w:val="003B7A4E"/>
    <w:rsid w:val="00407755"/>
    <w:rsid w:val="00492336"/>
    <w:rsid w:val="004B55AC"/>
    <w:rsid w:val="005826CF"/>
    <w:rsid w:val="00593E87"/>
    <w:rsid w:val="005B483E"/>
    <w:rsid w:val="005F6452"/>
    <w:rsid w:val="00613332"/>
    <w:rsid w:val="006D5B10"/>
    <w:rsid w:val="006F0BF1"/>
    <w:rsid w:val="007A1EF3"/>
    <w:rsid w:val="007D6187"/>
    <w:rsid w:val="00817E99"/>
    <w:rsid w:val="00856F0E"/>
    <w:rsid w:val="00896A0B"/>
    <w:rsid w:val="008A7216"/>
    <w:rsid w:val="008E2974"/>
    <w:rsid w:val="008E33A7"/>
    <w:rsid w:val="008F5902"/>
    <w:rsid w:val="009A56CE"/>
    <w:rsid w:val="009E2586"/>
    <w:rsid w:val="009F1149"/>
    <w:rsid w:val="00A04A3B"/>
    <w:rsid w:val="00A332B7"/>
    <w:rsid w:val="00A648C3"/>
    <w:rsid w:val="00B24E63"/>
    <w:rsid w:val="00B608CE"/>
    <w:rsid w:val="00B91D46"/>
    <w:rsid w:val="00C75C63"/>
    <w:rsid w:val="00CC14AD"/>
    <w:rsid w:val="00CC1652"/>
    <w:rsid w:val="00CF3566"/>
    <w:rsid w:val="00D36D17"/>
    <w:rsid w:val="00D64C31"/>
    <w:rsid w:val="00DC7E90"/>
    <w:rsid w:val="00DE6306"/>
    <w:rsid w:val="00E66FB9"/>
    <w:rsid w:val="00ED5E5C"/>
    <w:rsid w:val="00EE71BF"/>
    <w:rsid w:val="00F61E05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077C-5292-4B31-83A0-047A8C8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after="60" w:line="276" w:lineRule="auto"/>
      <w:ind w:firstLine="851"/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ummary">
    <w:name w:val="summary"/>
    <w:basedOn w:val="a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Pr>
      <w:rFonts w:ascii="Calibri" w:eastAsia="Calibri" w:hAnsi="Calibri" w:cs="Times New Roman"/>
    </w:rPr>
  </w:style>
  <w:style w:type="paragraph" w:styleId="aff0">
    <w:name w:val="header"/>
    <w:basedOn w:val="a"/>
    <w:link w:val="aff1"/>
    <w:pPr>
      <w:tabs>
        <w:tab w:val="center" w:pos="4153"/>
        <w:tab w:val="right" w:pos="8306"/>
      </w:tabs>
    </w:pPr>
    <w:rPr>
      <w:szCs w:val="20"/>
    </w:rPr>
  </w:style>
  <w:style w:type="character" w:customStyle="1" w:styleId="aff1">
    <w:name w:val="Верхний колонтитул Знак"/>
    <w:basedOn w:val="a0"/>
    <w:link w:val="a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table" w:styleId="af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+ Полужирный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13">
    <w:name w:val="Заголовок №1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0">
    <w:name w:val="Заголовок 1 Знак1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oatmr@yandex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992F-AEBD-4A16-B69B-79CAB6FC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ETkachenko</dc:creator>
  <cp:lastModifiedBy>User</cp:lastModifiedBy>
  <cp:revision>41</cp:revision>
  <cp:lastPrinted>2024-08-02T01:12:00Z</cp:lastPrinted>
  <dcterms:created xsi:type="dcterms:W3CDTF">2023-08-24T04:36:00Z</dcterms:created>
  <dcterms:modified xsi:type="dcterms:W3CDTF">2024-08-05T04:03:00Z</dcterms:modified>
</cp:coreProperties>
</file>