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75" w:rsidRPr="003C3954" w:rsidRDefault="00992275" w:rsidP="00992275">
      <w:pPr>
        <w:jc w:val="center"/>
        <w:rPr>
          <w:rFonts w:eastAsia="Times New Roman"/>
        </w:rPr>
      </w:pPr>
      <w:r w:rsidRPr="003C3954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Контрольно-счетная комиссия</w:t>
      </w:r>
    </w:p>
    <w:p w:rsidR="00992275" w:rsidRDefault="00992275" w:rsidP="00C06723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Тернейского муниципального округа</w:t>
      </w:r>
    </w:p>
    <w:p w:rsidR="00665404" w:rsidRPr="00793D9F" w:rsidRDefault="00665404" w:rsidP="00C06723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>Приморского края</w:t>
      </w:r>
    </w:p>
    <w:p w:rsidR="00992275" w:rsidRPr="00665404" w:rsidRDefault="00992275" w:rsidP="00C06723">
      <w:pPr>
        <w:keepNext/>
        <w:spacing w:before="120" w:after="120"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665404">
        <w:rPr>
          <w:rFonts w:eastAsia="Times New Roman"/>
          <w:b/>
          <w:bCs/>
          <w:sz w:val="26"/>
          <w:szCs w:val="26"/>
        </w:rPr>
        <w:t>ЗАКЛЮЧЕНИЕ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667"/>
      </w:tblGrid>
      <w:tr w:rsidR="00992275" w:rsidRPr="00793D9F" w:rsidTr="007A1D1F">
        <w:tc>
          <w:tcPr>
            <w:tcW w:w="4688" w:type="dxa"/>
          </w:tcPr>
          <w:p w:rsidR="00992275" w:rsidRPr="00793D9F" w:rsidRDefault="007046FC" w:rsidP="00BD6512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22</w:t>
            </w:r>
            <w:r w:rsidR="00BD6512">
              <w:rPr>
                <w:rFonts w:eastAsia="Times New Roman"/>
                <w:sz w:val="26"/>
                <w:szCs w:val="26"/>
              </w:rPr>
              <w:t xml:space="preserve"> июня </w:t>
            </w:r>
            <w:r w:rsidR="00992275" w:rsidRPr="00793D9F">
              <w:rPr>
                <w:rFonts w:eastAsia="Times New Roman"/>
                <w:sz w:val="26"/>
                <w:szCs w:val="26"/>
              </w:rPr>
              <w:t>202</w:t>
            </w:r>
            <w:r w:rsidR="00BA778F">
              <w:rPr>
                <w:rFonts w:eastAsia="Times New Roman"/>
                <w:sz w:val="26"/>
                <w:szCs w:val="26"/>
              </w:rPr>
              <w:t>3</w:t>
            </w:r>
            <w:r w:rsidR="00992275" w:rsidRPr="00793D9F">
              <w:rPr>
                <w:rFonts w:eastAsia="Times New Roman"/>
                <w:sz w:val="26"/>
                <w:szCs w:val="26"/>
              </w:rPr>
              <w:t xml:space="preserve"> г.</w:t>
            </w:r>
          </w:p>
        </w:tc>
        <w:tc>
          <w:tcPr>
            <w:tcW w:w="4667" w:type="dxa"/>
          </w:tcPr>
          <w:p w:rsidR="00992275" w:rsidRPr="00793D9F" w:rsidRDefault="00992275" w:rsidP="00BD6512">
            <w:pPr>
              <w:jc w:val="right"/>
              <w:rPr>
                <w:rFonts w:eastAsia="Times New Roman"/>
                <w:sz w:val="26"/>
                <w:szCs w:val="26"/>
              </w:rPr>
            </w:pPr>
            <w:r w:rsidRPr="00793D9F">
              <w:rPr>
                <w:rFonts w:eastAsia="Times New Roman"/>
                <w:sz w:val="26"/>
                <w:szCs w:val="26"/>
              </w:rPr>
              <w:t xml:space="preserve">№ </w:t>
            </w:r>
            <w:r w:rsidR="00BD6512">
              <w:rPr>
                <w:rFonts w:eastAsia="Times New Roman"/>
                <w:sz w:val="26"/>
                <w:szCs w:val="26"/>
              </w:rPr>
              <w:t>2</w:t>
            </w:r>
            <w:r w:rsidR="00CC09A2">
              <w:rPr>
                <w:rFonts w:eastAsia="Times New Roman"/>
                <w:sz w:val="26"/>
                <w:szCs w:val="26"/>
              </w:rPr>
              <w:t>6</w:t>
            </w:r>
            <w:r w:rsidRPr="00793D9F">
              <w:rPr>
                <w:rFonts w:eastAsia="Times New Roman"/>
                <w:sz w:val="26"/>
                <w:szCs w:val="26"/>
              </w:rPr>
              <w:t>-Э</w:t>
            </w:r>
          </w:p>
        </w:tc>
      </w:tr>
    </w:tbl>
    <w:p w:rsidR="007A1D1F" w:rsidRDefault="007A1D1F" w:rsidP="00C06723">
      <w:pPr>
        <w:pStyle w:val="ConsPlusNormal"/>
        <w:jc w:val="both"/>
      </w:pPr>
      <w:r w:rsidRPr="001764E2">
        <w:t xml:space="preserve">по </w:t>
      </w:r>
      <w:bookmarkStart w:id="0" w:name="_GoBack"/>
      <w:r w:rsidRPr="001764E2">
        <w:t>проекту решения Думы Тернейского муниципального округа «</w:t>
      </w:r>
      <w:r w:rsidR="00F66DDB" w:rsidRPr="00F66DDB">
        <w:rPr>
          <w:bCs/>
          <w:lang w:eastAsia="en-US"/>
        </w:rPr>
        <w:t>О рассмотрении вопроса о замене части дотации на выравнивание бюджетной обеспеченности Тернейского муниципального округа Приморского края</w:t>
      </w:r>
      <w:r w:rsidRPr="001764E2">
        <w:t>»</w:t>
      </w:r>
      <w:bookmarkEnd w:id="0"/>
    </w:p>
    <w:p w:rsidR="003E481B" w:rsidRPr="001764E2" w:rsidRDefault="003E481B" w:rsidP="00C06723">
      <w:pPr>
        <w:pStyle w:val="ConsPlusNormal"/>
        <w:jc w:val="both"/>
      </w:pPr>
    </w:p>
    <w:p w:rsidR="00EE5EEB" w:rsidRPr="007A1CA0" w:rsidRDefault="00EE5EEB" w:rsidP="00C06723">
      <w:pPr>
        <w:ind w:firstLine="539"/>
        <w:jc w:val="both"/>
      </w:pPr>
      <w:r w:rsidRPr="007A1CA0">
        <w:t>Основанием для проведения экспертно</w:t>
      </w:r>
      <w:r w:rsidR="00C113BB" w:rsidRPr="007A1CA0">
        <w:t>-</w:t>
      </w:r>
      <w:r w:rsidRPr="007A1CA0">
        <w:t xml:space="preserve">аналитического мероприятия проекта </w:t>
      </w:r>
      <w:r w:rsidR="001764E2" w:rsidRPr="007A1CA0">
        <w:t xml:space="preserve">нормативно-правового акта </w:t>
      </w:r>
      <w:r w:rsidRPr="007A1CA0">
        <w:t>явля</w:t>
      </w:r>
      <w:r w:rsidR="00AB1FA9" w:rsidRPr="007A1CA0">
        <w:t>етс</w:t>
      </w:r>
      <w:r w:rsidR="001764E2" w:rsidRPr="007A1CA0">
        <w:t>я:</w:t>
      </w:r>
      <w:r w:rsidRPr="007A1CA0">
        <w:t xml:space="preserve"> </w:t>
      </w:r>
      <w:r w:rsidR="00F66DDB" w:rsidRPr="00F66DDB">
        <w:t>Бюджетный кодекс Российской Федерации (далее – Бюджетный кодекс)</w:t>
      </w:r>
      <w:r w:rsidR="00F66DDB">
        <w:t xml:space="preserve">, </w:t>
      </w:r>
      <w:r w:rsidRPr="007A1CA0">
        <w:t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 о Контрольно-счетной комиссии Тернейского муниципального округа</w:t>
      </w:r>
      <w:r w:rsidR="00BD6512">
        <w:t xml:space="preserve"> Приморского края</w:t>
      </w:r>
      <w:r w:rsidRPr="007A1CA0">
        <w:t xml:space="preserve">, утвержденное решением Думы Тернейского муниципального округа от </w:t>
      </w:r>
      <w:r w:rsidR="00933CC6" w:rsidRPr="007A1CA0">
        <w:t>24.11.2021</w:t>
      </w:r>
      <w:r w:rsidRPr="007A1CA0">
        <w:t xml:space="preserve"> № </w:t>
      </w:r>
      <w:r w:rsidR="00933CC6" w:rsidRPr="007A1CA0">
        <w:t>209</w:t>
      </w:r>
      <w:r w:rsidRPr="007A1CA0">
        <w:t>.</w:t>
      </w:r>
    </w:p>
    <w:p w:rsidR="00926A3B" w:rsidRDefault="00926A3B" w:rsidP="00C06723">
      <w:pPr>
        <w:ind w:firstLine="540"/>
        <w:jc w:val="both"/>
      </w:pPr>
      <w:r>
        <w:t>Для подготовки заключения использованы следующие нормативно-правовые акты:</w:t>
      </w:r>
    </w:p>
    <w:p w:rsidR="00F66DDB" w:rsidRDefault="00F66DDB" w:rsidP="00C06723">
      <w:pPr>
        <w:ind w:firstLine="540"/>
        <w:jc w:val="both"/>
      </w:pPr>
      <w:r>
        <w:t xml:space="preserve">– </w:t>
      </w:r>
      <w:r w:rsidRPr="00F66DDB">
        <w:t>Бюджетны</w:t>
      </w:r>
      <w:r>
        <w:t>й</w:t>
      </w:r>
      <w:r w:rsidRPr="00F66DDB">
        <w:t xml:space="preserve"> кодекс</w:t>
      </w:r>
      <w:r>
        <w:t xml:space="preserve"> Российской Федерации (далее –</w:t>
      </w:r>
      <w:r w:rsidRPr="00F66DDB">
        <w:t xml:space="preserve"> Бюджетный кодекс)</w:t>
      </w:r>
      <w:r>
        <w:t>;</w:t>
      </w:r>
    </w:p>
    <w:p w:rsidR="00926A3B" w:rsidRDefault="00C06723" w:rsidP="00C06723">
      <w:pPr>
        <w:ind w:firstLine="540"/>
        <w:jc w:val="both"/>
      </w:pPr>
      <w:r>
        <w:t xml:space="preserve">– </w:t>
      </w:r>
      <w:r w:rsidR="00926A3B">
        <w:t>Федеральный Закон от 06.10.2003 № 131 ФЗ «Об общих принципах организации местного самоуправления в РФ»;</w:t>
      </w:r>
    </w:p>
    <w:p w:rsidR="00F66DDB" w:rsidRDefault="00F66DDB" w:rsidP="00C06723">
      <w:pPr>
        <w:ind w:firstLine="540"/>
        <w:jc w:val="both"/>
      </w:pPr>
      <w:r>
        <w:t xml:space="preserve">– </w:t>
      </w:r>
      <w:r w:rsidRPr="00F66DDB">
        <w:t>Закон Приморского края от 02.08.2005 № 271-КЗ «О бюджетном устройстве, бюджетном процессе и межбюджетных отношениях в Приморском крае»</w:t>
      </w:r>
      <w:r>
        <w:t>;</w:t>
      </w:r>
    </w:p>
    <w:p w:rsidR="00F66DDB" w:rsidRDefault="001F0D31" w:rsidP="00926A3B">
      <w:pPr>
        <w:ind w:firstLine="540"/>
        <w:jc w:val="both"/>
      </w:pPr>
      <w:r w:rsidRPr="007A1CA0">
        <w:t>–</w:t>
      </w:r>
      <w:r w:rsidRPr="007A1CA0">
        <w:tab/>
        <w:t>Устав Тернейского муниципального округа Приморского края</w:t>
      </w:r>
      <w:r w:rsidR="00F66DDB">
        <w:t>;</w:t>
      </w:r>
    </w:p>
    <w:p w:rsidR="001F0D31" w:rsidRPr="007A1CA0" w:rsidRDefault="00F66DDB" w:rsidP="00926A3B">
      <w:pPr>
        <w:ind w:firstLine="540"/>
        <w:jc w:val="both"/>
      </w:pPr>
      <w:r>
        <w:t xml:space="preserve">– </w:t>
      </w:r>
      <w:r w:rsidRPr="00F66DDB">
        <w:t>Положени</w:t>
      </w:r>
      <w:r>
        <w:t>е</w:t>
      </w:r>
      <w:r w:rsidRPr="00F66DDB">
        <w:t xml:space="preserve"> о бюджетном устройстве и бюджетном процессе в Тернейском муниципальном округе, утвержденно</w:t>
      </w:r>
      <w:r>
        <w:t>е</w:t>
      </w:r>
      <w:r w:rsidRPr="00F66DDB">
        <w:t xml:space="preserve"> Решением Думы Тернейского муниципального округа Приморского к</w:t>
      </w:r>
      <w:r>
        <w:t>рая от 29 сентября 2021 г. №257.</w:t>
      </w:r>
    </w:p>
    <w:p w:rsidR="00E858F8" w:rsidRPr="00E21D01" w:rsidRDefault="001764E2" w:rsidP="00E21D01">
      <w:pPr>
        <w:ind w:firstLine="720"/>
        <w:jc w:val="both"/>
        <w:rPr>
          <w:rFonts w:eastAsia="Times New Roman"/>
          <w:sz w:val="25"/>
          <w:szCs w:val="25"/>
        </w:rPr>
      </w:pPr>
      <w:r w:rsidRPr="007A1CA0">
        <w:t xml:space="preserve">Проект решения с пояснительной запиской поступил в Контрольно-счетную комиссию </w:t>
      </w:r>
      <w:r w:rsidR="00BA778F">
        <w:t>19</w:t>
      </w:r>
      <w:r w:rsidR="00BC3702">
        <w:t>.0</w:t>
      </w:r>
      <w:r w:rsidR="00F66DDB">
        <w:t>6</w:t>
      </w:r>
      <w:r w:rsidR="00370A52">
        <w:t>.202</w:t>
      </w:r>
      <w:r w:rsidR="00BA778F">
        <w:t>3</w:t>
      </w:r>
      <w:r w:rsidRPr="007A1CA0">
        <w:t>г.</w:t>
      </w:r>
      <w:r w:rsidR="00BA778F">
        <w:t>, дополнительная информация по проекту, необходимая для проведения экспертно-аналитического мероприятия, от разработчика проекта поступила</w:t>
      </w:r>
      <w:r w:rsidR="00E21D01" w:rsidRPr="00E21D01">
        <w:rPr>
          <w:rFonts w:eastAsia="Times New Roman"/>
          <w:sz w:val="25"/>
          <w:szCs w:val="25"/>
        </w:rPr>
        <w:t xml:space="preserve"> </w:t>
      </w:r>
      <w:r w:rsidR="00F66DDB">
        <w:rPr>
          <w:rFonts w:eastAsia="Times New Roman"/>
          <w:sz w:val="25"/>
          <w:szCs w:val="25"/>
        </w:rPr>
        <w:t>21</w:t>
      </w:r>
      <w:r w:rsidR="00BA778F">
        <w:rPr>
          <w:rFonts w:eastAsia="Times New Roman"/>
          <w:sz w:val="25"/>
          <w:szCs w:val="25"/>
        </w:rPr>
        <w:t>.0</w:t>
      </w:r>
      <w:r w:rsidR="00F66DDB">
        <w:rPr>
          <w:rFonts w:eastAsia="Times New Roman"/>
          <w:sz w:val="25"/>
          <w:szCs w:val="25"/>
        </w:rPr>
        <w:t>6</w:t>
      </w:r>
      <w:r w:rsidR="00BA778F">
        <w:rPr>
          <w:rFonts w:eastAsia="Times New Roman"/>
          <w:sz w:val="25"/>
          <w:szCs w:val="25"/>
        </w:rPr>
        <w:t xml:space="preserve">.2023г. </w:t>
      </w:r>
      <w:r w:rsidR="00E21D01" w:rsidRPr="00E21D01">
        <w:rPr>
          <w:rFonts w:eastAsia="Times New Roman"/>
        </w:rPr>
        <w:t xml:space="preserve">Разработчик проекта </w:t>
      </w:r>
      <w:r w:rsidR="00F66DDB">
        <w:rPr>
          <w:rFonts w:eastAsia="Times New Roman"/>
        </w:rPr>
        <w:t>Финансовое управление</w:t>
      </w:r>
      <w:r w:rsidR="00E21D01" w:rsidRPr="00E21D01">
        <w:rPr>
          <w:rFonts w:eastAsia="Times New Roman"/>
        </w:rPr>
        <w:t xml:space="preserve"> администрации Тернейского муниципального округа.</w:t>
      </w:r>
      <w:r w:rsidR="00E21D01">
        <w:rPr>
          <w:rFonts w:eastAsia="Times New Roman"/>
          <w:sz w:val="25"/>
          <w:szCs w:val="25"/>
        </w:rPr>
        <w:t xml:space="preserve"> </w:t>
      </w:r>
    </w:p>
    <w:p w:rsidR="00E06982" w:rsidRDefault="00E06982" w:rsidP="009F25FB">
      <w:pPr>
        <w:ind w:firstLine="709"/>
        <w:jc w:val="both"/>
      </w:pPr>
      <w:r>
        <w:t xml:space="preserve">Проектом решения предлагается </w:t>
      </w:r>
      <w:r w:rsidR="009F25FB">
        <w:t xml:space="preserve">отказать </w:t>
      </w:r>
      <w:r>
        <w:t xml:space="preserve">согласовать замену дотации на выравнивание бюджетной обеспеченности </w:t>
      </w:r>
      <w:r w:rsidR="009F25FB">
        <w:t>Тернейского муниципального</w:t>
      </w:r>
      <w:r>
        <w:t xml:space="preserve"> округа на дополнительный норматив отчислений в бюджет </w:t>
      </w:r>
      <w:r w:rsidR="009F25FB">
        <w:t>Тернейского муниципального</w:t>
      </w:r>
      <w:r>
        <w:t xml:space="preserve"> округа от налога на доходы физических лиц на 202</w:t>
      </w:r>
      <w:r w:rsidR="009F25FB">
        <w:t>4</w:t>
      </w:r>
      <w:r>
        <w:t xml:space="preserve"> год и на плановый период 202</w:t>
      </w:r>
      <w:r w:rsidR="009F25FB">
        <w:t>5</w:t>
      </w:r>
      <w:r>
        <w:t xml:space="preserve"> и 202</w:t>
      </w:r>
      <w:r w:rsidR="009F25FB">
        <w:t>6</w:t>
      </w:r>
      <w:r>
        <w:t xml:space="preserve"> годов.</w:t>
      </w:r>
    </w:p>
    <w:p w:rsidR="00E06982" w:rsidRDefault="00E06982" w:rsidP="009F25FB">
      <w:pPr>
        <w:ind w:firstLine="709"/>
        <w:jc w:val="both"/>
      </w:pPr>
      <w:r>
        <w:t xml:space="preserve">В соответствии с пунктом 5 статьи 138 Бюджетного кодекса при составлении и (или)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</w:t>
      </w:r>
      <w:r w:rsidR="009F25FB">
        <w:t>муниципальных</w:t>
      </w:r>
      <w:r>
        <w:t xml:space="preserve"> округов могут быть полностью или частично заменены дополнительными нормативами отчислений в бюджеты городских округов от налога на доходы физических лиц.</w:t>
      </w:r>
    </w:p>
    <w:p w:rsidR="00E06982" w:rsidRDefault="00E06982" w:rsidP="009F25FB">
      <w:pPr>
        <w:ind w:firstLine="709"/>
        <w:jc w:val="both"/>
      </w:pPr>
      <w:r>
        <w:t>Анализ выше отраженной нормы и представленного на экспертизу Проекта решения показывает, что он разработан в рамках реализации пункта 5 статьи 138 Бюджетного кодекса. Принятие данного Проекта решения необходимо для работы по составлению (прогнозированию) бюджета на следующий финансовый период.</w:t>
      </w:r>
    </w:p>
    <w:p w:rsidR="00E06982" w:rsidRDefault="00E06982" w:rsidP="009F25FB">
      <w:pPr>
        <w:ind w:firstLine="709"/>
        <w:jc w:val="both"/>
      </w:pPr>
      <w:r>
        <w:t>Норма аналогичная</w:t>
      </w:r>
      <w:r w:rsidR="00EB2C42">
        <w:t>,</w:t>
      </w:r>
      <w:r>
        <w:t xml:space="preserve"> содержащейся в пункте 5 статьи 138 Бюджетного кодекса</w:t>
      </w:r>
      <w:r w:rsidR="00EB2C42">
        <w:t>,</w:t>
      </w:r>
      <w:r>
        <w:t xml:space="preserve"> установлена в части 6 статьи 34 Закона Приморского края от 02.08.2005 № 271-КЗ «О бюджетном устройстве, бюджетном процессе и межбюджетных отношениях в Приморском крае». В Положении </w:t>
      </w:r>
      <w:r w:rsidR="009F25FB" w:rsidRPr="009F25FB">
        <w:t>о бюджетном устройстве и бюджетном процессе в Тернейском муниципальном округе, утвержденно</w:t>
      </w:r>
      <w:r w:rsidR="00EB2C42">
        <w:t>м</w:t>
      </w:r>
      <w:r w:rsidR="009F25FB" w:rsidRPr="009F25FB">
        <w:t xml:space="preserve"> Решением Думы Тернейского муниципального округа Приморского края от 29 сентября 2021 г. №257</w:t>
      </w:r>
      <w:r>
        <w:t xml:space="preserve"> норма аналогичного содержания не </w:t>
      </w:r>
      <w:r>
        <w:lastRenderedPageBreak/>
        <w:t xml:space="preserve">предусмотрена, но в частности в статье </w:t>
      </w:r>
      <w:r w:rsidR="00B3039C">
        <w:t>12</w:t>
      </w:r>
      <w:r>
        <w:t xml:space="preserve"> предусмотрено, что </w:t>
      </w:r>
      <w:r w:rsidR="00B3039C">
        <w:t xml:space="preserve">к </w:t>
      </w:r>
      <w:r w:rsidR="00B3039C" w:rsidRPr="00B3039C">
        <w:t>бюджетным полномочиям Думы Тернейского муниципального округа относ</w:t>
      </w:r>
      <w:r w:rsidR="00B3039C">
        <w:t>и</w:t>
      </w:r>
      <w:r w:rsidR="00B3039C" w:rsidRPr="00B3039C">
        <w:t>тся</w:t>
      </w:r>
      <w:r w:rsidR="00B3039C">
        <w:t xml:space="preserve"> </w:t>
      </w:r>
      <w:r w:rsidR="00B3039C" w:rsidRPr="00B3039C">
        <w:t>осуществление других полномочий, предусмотренных Бюджетным кодексом, федеральными законами, иными нормативными правовыми актами Российской Федерации, Уставом Тернейского муниципального округа, настоящим Положением и решениями Думы муниципального округа</w:t>
      </w:r>
      <w:r>
        <w:t xml:space="preserve">. </w:t>
      </w:r>
    </w:p>
    <w:p w:rsidR="00E06982" w:rsidRDefault="00E06982" w:rsidP="009F25FB">
      <w:pPr>
        <w:ind w:firstLine="709"/>
        <w:jc w:val="both"/>
      </w:pPr>
      <w:r>
        <w:t>Согласно абзаца четвертого</w:t>
      </w:r>
      <w:r w:rsidR="00B3039C">
        <w:t>, пятого</w:t>
      </w:r>
      <w:r>
        <w:t xml:space="preserve"> пункта 5 статьи 138 Бюджетного кодекса </w:t>
      </w:r>
      <w:r w:rsidRPr="00DF5908">
        <w:rPr>
          <w:u w:val="single"/>
        </w:rPr>
        <w:t>средства, полученные</w:t>
      </w:r>
      <w:r>
        <w:t xml:space="preserve"> </w:t>
      </w:r>
      <w:r w:rsidR="00B3039C">
        <w:t>муниципальным</w:t>
      </w:r>
      <w:r>
        <w:t xml:space="preserve"> округом </w:t>
      </w:r>
      <w:r w:rsidRPr="00DF5908">
        <w:rPr>
          <w:u w:val="single"/>
        </w:rPr>
        <w:t>по дополнительному нормативу отчислений от налога на доходы физических лиц сверх расчетного объема дотации</w:t>
      </w:r>
      <w:r>
        <w:t xml:space="preserve"> (части расчетного объема дотации) на выравнивание бюджетной обеспеченности городских округов изъятию в бюджет субъекта Российской Федерации и (или) учету при последующем распределении межбюджетных трансфертов местным бюджетам</w:t>
      </w:r>
      <w:r w:rsidR="00B3039C">
        <w:t xml:space="preserve">, так же как и </w:t>
      </w:r>
      <w:r w:rsidR="00B3039C" w:rsidRPr="00DF5908">
        <w:rPr>
          <w:u w:val="single"/>
        </w:rPr>
        <w:t>потери бюджета</w:t>
      </w:r>
      <w:r w:rsidR="00B3039C" w:rsidRPr="00B3039C">
        <w:t xml:space="preserve"> муниципального округа </w:t>
      </w:r>
      <w:r w:rsidR="00B3039C" w:rsidRPr="00DF5908">
        <w:rPr>
          <w:u w:val="single"/>
        </w:rPr>
        <w:t>в связи с получением средств по дополнительному нормативу отчислений от налога на доходы физических лиц ниже расчетного объема дотации</w:t>
      </w:r>
      <w:r w:rsidR="00B3039C" w:rsidRPr="00B3039C">
        <w:t xml:space="preserve"> (части расчетного объема дотации) на выравнивание бюджетной обеспеченности муниципальных округов компенсации из бюджета субъекта Российской Федерации и (или) учету при последующем распределении межбюджетных трансфертов местным бюджетам</w:t>
      </w:r>
      <w:r>
        <w:t xml:space="preserve"> </w:t>
      </w:r>
      <w:r w:rsidRPr="00DF5908">
        <w:rPr>
          <w:u w:val="single"/>
        </w:rPr>
        <w:t>не подлежат</w:t>
      </w:r>
      <w:r>
        <w:t>.</w:t>
      </w:r>
    </w:p>
    <w:p w:rsidR="00E06982" w:rsidRDefault="00F209F4" w:rsidP="009F25FB">
      <w:pPr>
        <w:ind w:firstLine="709"/>
        <w:jc w:val="both"/>
      </w:pPr>
      <w:r>
        <w:t>В пояснительной записке</w:t>
      </w:r>
      <w:r w:rsidR="00E06982">
        <w:t xml:space="preserve"> к Проекту решения разработчик указывает на целесообразность </w:t>
      </w:r>
      <w:r>
        <w:t xml:space="preserve">отказать в </w:t>
      </w:r>
      <w:r w:rsidR="00E06982">
        <w:t xml:space="preserve">согласования замены дотации на выравнивание бюджетной обеспеченности дополнительным нормативом отчислений от налога на доходы физических лиц в бюджет </w:t>
      </w:r>
      <w:r>
        <w:t>Тернейского муниципального</w:t>
      </w:r>
      <w:r w:rsidR="00E06982">
        <w:t xml:space="preserve"> округа на 202</w:t>
      </w:r>
      <w:r>
        <w:t>4</w:t>
      </w:r>
      <w:r w:rsidR="00E06982">
        <w:t xml:space="preserve"> год и плановый период 202</w:t>
      </w:r>
      <w:r>
        <w:t>5</w:t>
      </w:r>
      <w:r w:rsidR="00E06982">
        <w:t xml:space="preserve"> и 202</w:t>
      </w:r>
      <w:r>
        <w:t>6</w:t>
      </w:r>
      <w:r w:rsidR="00E06982">
        <w:t xml:space="preserve"> годов приводя примеры прошлых периодов. Так же разработчиком в </w:t>
      </w:r>
      <w:r>
        <w:t>пояснительной записке</w:t>
      </w:r>
      <w:r w:rsidR="00E06982">
        <w:t xml:space="preserve"> отражен анализ экономической обоснованности применяемого решения. Данный факт подтверждается настоящей экспертизой.</w:t>
      </w:r>
    </w:p>
    <w:p w:rsidR="00E06982" w:rsidRPr="00EB2C42" w:rsidRDefault="00E06982" w:rsidP="009F25FB">
      <w:pPr>
        <w:ind w:firstLine="709"/>
        <w:jc w:val="both"/>
      </w:pPr>
      <w:r>
        <w:t xml:space="preserve">Таким образом, по результатам проведенной экспертизы Контрольно-счётная </w:t>
      </w:r>
      <w:r w:rsidR="007046FC">
        <w:t>комиссии</w:t>
      </w:r>
      <w:r>
        <w:t xml:space="preserve"> полагает, что проект решения «О согласовании замены дотации на выравнивание бюджетной обеспеченности» не противоречит действующему законодательству и может быть </w:t>
      </w:r>
      <w:r w:rsidRPr="00EB2C42">
        <w:t xml:space="preserve">рассмотрен Думой </w:t>
      </w:r>
      <w:r w:rsidR="00F209F4" w:rsidRPr="00EB2C42">
        <w:t>Тернейского муниципального</w:t>
      </w:r>
      <w:r w:rsidRPr="00EB2C42">
        <w:t xml:space="preserve"> округа в представленной редакции.</w:t>
      </w:r>
    </w:p>
    <w:p w:rsidR="00E06982" w:rsidRDefault="00E06982" w:rsidP="009F25FB">
      <w:pPr>
        <w:ind w:firstLine="709"/>
        <w:jc w:val="both"/>
      </w:pPr>
      <w:r w:rsidRPr="00EB2C42">
        <w:t xml:space="preserve">Представленный </w:t>
      </w:r>
      <w:r w:rsidR="00EB2C42" w:rsidRPr="00EB2C42">
        <w:t xml:space="preserve">Финансовым управлением администрации Тернейского муниципального округа </w:t>
      </w:r>
      <w:r w:rsidRPr="00EB2C42">
        <w:t xml:space="preserve">расчет указывает на наличие целесообразности </w:t>
      </w:r>
      <w:r w:rsidR="00EB2C42" w:rsidRPr="00EB2C42">
        <w:t>для бюджета Тернейского муниципального округа</w:t>
      </w:r>
      <w:r w:rsidR="00EB2C42" w:rsidRPr="00EB2C42">
        <w:t xml:space="preserve"> </w:t>
      </w:r>
      <w:r w:rsidRPr="00EB2C42">
        <w:t>при принятии настоящего Проекта.</w:t>
      </w:r>
      <w:r>
        <w:t xml:space="preserve"> </w:t>
      </w:r>
    </w:p>
    <w:p w:rsidR="00D90D9D" w:rsidRDefault="00E06982" w:rsidP="009F25FB">
      <w:pPr>
        <w:ind w:firstLine="709"/>
        <w:jc w:val="both"/>
      </w:pPr>
      <w:r>
        <w:t>В анализируемый период применения замены (с 201</w:t>
      </w:r>
      <w:r w:rsidR="00F209F4">
        <w:t>5</w:t>
      </w:r>
      <w:r>
        <w:t xml:space="preserve"> года) устанавливалась превышение размера дохода от замены над размером расчётной дотации</w:t>
      </w:r>
      <w:r w:rsidR="00F209F4">
        <w:t xml:space="preserve"> до 2019 года</w:t>
      </w:r>
      <w:r>
        <w:t xml:space="preserve">, то есть замена носила эффективный для бюджета характер. Однако, отмечаем, что данная замена </w:t>
      </w:r>
      <w:r w:rsidR="00F209F4">
        <w:t>с</w:t>
      </w:r>
      <w:r>
        <w:t xml:space="preserve"> </w:t>
      </w:r>
      <w:r w:rsidR="00F209F4">
        <w:t>2020</w:t>
      </w:r>
      <w:r>
        <w:t xml:space="preserve"> год</w:t>
      </w:r>
      <w:r w:rsidR="00F209F4">
        <w:t>а</w:t>
      </w:r>
      <w:r>
        <w:t xml:space="preserve"> была неэффективной для бюджета </w:t>
      </w:r>
      <w:r w:rsidR="00F209F4">
        <w:t>Тернейского муниципального округа</w:t>
      </w:r>
      <w:r>
        <w:t xml:space="preserve">. Сумма упущенной выгоды </w:t>
      </w:r>
      <w:r w:rsidR="00EB2C42">
        <w:t xml:space="preserve">за 2020-2021 годы </w:t>
      </w:r>
      <w:r>
        <w:t xml:space="preserve">составила </w:t>
      </w:r>
      <w:r w:rsidR="00D90D9D">
        <w:t>28 631,67</w:t>
      </w:r>
      <w:r w:rsidR="00F209F4">
        <w:t xml:space="preserve"> тыс.</w:t>
      </w:r>
      <w:r>
        <w:t xml:space="preserve"> руб. Причиной стало </w:t>
      </w:r>
      <w:r w:rsidR="00D90D9D">
        <w:t>снижение поступлений</w:t>
      </w:r>
      <w:r>
        <w:t xml:space="preserve"> дополнительного норматива отчисления НДФЛ в бюджет </w:t>
      </w:r>
      <w:r w:rsidR="00D90D9D">
        <w:t>Тернейского муниципального округа</w:t>
      </w:r>
      <w:r>
        <w:t xml:space="preserve"> и увеличение размера дотации. </w:t>
      </w:r>
    </w:p>
    <w:p w:rsidR="00D90D9D" w:rsidRDefault="00D90D9D" w:rsidP="009F25FB">
      <w:pPr>
        <w:ind w:firstLine="709"/>
        <w:jc w:val="both"/>
      </w:pPr>
      <w:r w:rsidRPr="00D90D9D">
        <w:t xml:space="preserve">На 2022 год принято решение согласовать замену дотации дополнительным нормативом отчислений в размере 50 %. </w:t>
      </w:r>
      <w:r>
        <w:t>У</w:t>
      </w:r>
      <w:r w:rsidRPr="00D90D9D">
        <w:t>пущенная выгода все равно была и составила 6</w:t>
      </w:r>
      <w:r>
        <w:t> </w:t>
      </w:r>
      <w:r w:rsidRPr="00D90D9D">
        <w:t>498</w:t>
      </w:r>
      <w:r>
        <w:t>,</w:t>
      </w:r>
      <w:r w:rsidRPr="00D90D9D">
        <w:t>87 тыс. руб.</w:t>
      </w:r>
    </w:p>
    <w:p w:rsidR="00E06982" w:rsidRDefault="00E06982" w:rsidP="009F25FB">
      <w:pPr>
        <w:ind w:firstLine="709"/>
        <w:jc w:val="both"/>
      </w:pPr>
      <w:r>
        <w:t xml:space="preserve">Согласно бюджета Приморского края, на 2023 и 2024 год дополнительный норматив отчисления </w:t>
      </w:r>
      <w:r w:rsidR="00D90D9D">
        <w:t xml:space="preserve">в бюджет Тернейского муниципального округа не </w:t>
      </w:r>
      <w:r>
        <w:t>установлен</w:t>
      </w:r>
      <w:r w:rsidR="00D90D9D">
        <w:t>, так как н</w:t>
      </w:r>
      <w:r w:rsidR="00D90D9D" w:rsidRPr="00D90D9D">
        <w:t>а 2023 год принято решение оставить дотацию в размере 100 %.</w:t>
      </w:r>
      <w:r>
        <w:t xml:space="preserve"> В 202</w:t>
      </w:r>
      <w:r w:rsidR="00D90D9D">
        <w:t>2</w:t>
      </w:r>
      <w:r>
        <w:t xml:space="preserve"> году </w:t>
      </w:r>
      <w:r w:rsidR="00D90D9D">
        <w:t xml:space="preserve">дополнительный норматив составлял 22,4208058%, в 2021 году 43,7779982%, в 2020 году 42,2864%. </w:t>
      </w:r>
      <w:r>
        <w:t xml:space="preserve">Размер дотации на 2023 год для </w:t>
      </w:r>
      <w:r w:rsidR="00D90D9D">
        <w:t>Тернейского муниципального округа</w:t>
      </w:r>
      <w:r>
        <w:t xml:space="preserve"> установлен </w:t>
      </w:r>
      <w:r w:rsidR="00D90D9D">
        <w:t>ниже</w:t>
      </w:r>
      <w:r>
        <w:t xml:space="preserve"> уровня 202</w:t>
      </w:r>
      <w:r w:rsidR="00D90D9D">
        <w:t>2</w:t>
      </w:r>
      <w:r>
        <w:t xml:space="preserve"> года на </w:t>
      </w:r>
      <w:r w:rsidR="00D90D9D">
        <w:t>16 438,22 тыс.</w:t>
      </w:r>
      <w:r>
        <w:t xml:space="preserve"> руб., а в 2024 году </w:t>
      </w:r>
      <w:r w:rsidR="00D90D9D">
        <w:t>в сравнении с 2023 годом ниже</w:t>
      </w:r>
      <w:r>
        <w:t xml:space="preserve"> на </w:t>
      </w:r>
      <w:r w:rsidR="00D90D9D">
        <w:t>634,386 тыс.</w:t>
      </w:r>
      <w:r>
        <w:t xml:space="preserve"> руб.</w:t>
      </w:r>
    </w:p>
    <w:p w:rsidR="00E06982" w:rsidRDefault="00E06982" w:rsidP="009F25FB">
      <w:pPr>
        <w:ind w:firstLine="709"/>
        <w:jc w:val="both"/>
      </w:pPr>
      <w:r>
        <w:t xml:space="preserve">Отмечаем также, что в социально-экономическом прогнозе на 2023-2024 годы прогнозируется потенциальное увеличение </w:t>
      </w:r>
      <w:r w:rsidR="005C4607">
        <w:t>ф</w:t>
      </w:r>
      <w:r w:rsidR="005C4607" w:rsidRPr="005C4607">
        <w:t>онд</w:t>
      </w:r>
      <w:r w:rsidR="005C4607">
        <w:t>а</w:t>
      </w:r>
      <w:r w:rsidR="005C4607" w:rsidRPr="005C4607">
        <w:t xml:space="preserve"> заработной платы работников организаций</w:t>
      </w:r>
      <w:r w:rsidR="005C4607">
        <w:t xml:space="preserve"> на 1%</w:t>
      </w:r>
      <w:r>
        <w:t xml:space="preserve">, а также </w:t>
      </w:r>
      <w:r w:rsidR="005C4607">
        <w:t>согласно проекту федерального закона № 307392-8 «</w:t>
      </w:r>
      <w:r w:rsidR="005C4607" w:rsidRPr="005C4607">
        <w:t xml:space="preserve">О внесении изменения в статью 1 Федерального закона </w:t>
      </w:r>
      <w:r w:rsidR="005C4607">
        <w:t>«</w:t>
      </w:r>
      <w:r w:rsidR="005C4607" w:rsidRPr="005C4607">
        <w:t>О минимальном размере оплаты труда</w:t>
      </w:r>
      <w:proofErr w:type="gramStart"/>
      <w:r w:rsidR="005C4607">
        <w:t>»</w:t>
      </w:r>
      <w:proofErr w:type="gramEnd"/>
      <w:r w:rsidR="005C4607">
        <w:t xml:space="preserve"> </w:t>
      </w:r>
      <w:r>
        <w:t xml:space="preserve">рост МРОТ </w:t>
      </w:r>
      <w:r w:rsidR="005C4607">
        <w:t>с 01 января 2024 года составит</w:t>
      </w:r>
      <w:r>
        <w:t xml:space="preserve"> </w:t>
      </w:r>
      <w:r w:rsidR="005C4607">
        <w:t>18,5</w:t>
      </w:r>
      <w:r>
        <w:t>%.</w:t>
      </w:r>
    </w:p>
    <w:p w:rsidR="00E06982" w:rsidRDefault="00E06982" w:rsidP="009F25FB">
      <w:pPr>
        <w:ind w:firstLine="709"/>
        <w:jc w:val="both"/>
      </w:pPr>
      <w:r>
        <w:t xml:space="preserve">Учитывая вышесказанное, </w:t>
      </w:r>
      <w:r w:rsidR="005C4607">
        <w:t>Контрольно-счетная комиссия</w:t>
      </w:r>
      <w:r>
        <w:t xml:space="preserve"> считает предложенное </w:t>
      </w:r>
      <w:r w:rsidR="005C4607">
        <w:t xml:space="preserve">решение </w:t>
      </w:r>
      <w:r w:rsidR="00665404">
        <w:t xml:space="preserve">администрации Тернейского муниципального округа об отказе в </w:t>
      </w:r>
      <w:r>
        <w:t>согласовани</w:t>
      </w:r>
      <w:r w:rsidR="00665404">
        <w:t>и</w:t>
      </w:r>
      <w:r>
        <w:t xml:space="preserve"> </w:t>
      </w:r>
      <w:r>
        <w:lastRenderedPageBreak/>
        <w:t xml:space="preserve">замены дотации на выравнивание бюджетной обеспеченности дополнительным нормативом отчислений от налога на доходы физических лиц в бюджет </w:t>
      </w:r>
      <w:r w:rsidR="00665404">
        <w:t xml:space="preserve">Тернейского муниципального </w:t>
      </w:r>
      <w:r>
        <w:t xml:space="preserve">округа </w:t>
      </w:r>
      <w:r w:rsidR="00665404">
        <w:t xml:space="preserve">обоснованным и более </w:t>
      </w:r>
      <w:r w:rsidR="007046FC">
        <w:t>стабильным</w:t>
      </w:r>
      <w:r>
        <w:t xml:space="preserve"> для бюджета ввиду наличия </w:t>
      </w:r>
      <w:r w:rsidR="00665404">
        <w:t>тенденции</w:t>
      </w:r>
      <w:r>
        <w:t xml:space="preserve"> превышения размера дотации над расчетным для поступления в бюджет </w:t>
      </w:r>
      <w:r w:rsidR="00665404">
        <w:t>Тернейского муниципального округа</w:t>
      </w:r>
      <w:r>
        <w:t xml:space="preserve"> размером НДФЛ. </w:t>
      </w:r>
    </w:p>
    <w:p w:rsidR="00E06982" w:rsidRPr="00665404" w:rsidRDefault="00E06982" w:rsidP="00665404">
      <w:pPr>
        <w:spacing w:before="120"/>
        <w:ind w:firstLine="709"/>
        <w:jc w:val="both"/>
        <w:rPr>
          <w:b/>
        </w:rPr>
      </w:pPr>
      <w:r w:rsidRPr="00665404">
        <w:rPr>
          <w:b/>
        </w:rPr>
        <w:t>Выводы</w:t>
      </w:r>
    </w:p>
    <w:p w:rsidR="00E06982" w:rsidRDefault="00E06982" w:rsidP="009F25FB">
      <w:pPr>
        <w:ind w:firstLine="709"/>
        <w:jc w:val="both"/>
      </w:pPr>
      <w:r>
        <w:t xml:space="preserve">В ходе проведения экспертно-аналитического мероприятия Контрольно-счетной </w:t>
      </w:r>
      <w:r w:rsidR="00665404">
        <w:t>комиссией</w:t>
      </w:r>
      <w:r>
        <w:t xml:space="preserve"> установлено, что проект решения «</w:t>
      </w:r>
      <w:r w:rsidR="00665404" w:rsidRPr="00665404">
        <w:t>О рассмотрении вопроса о замене части дотации на выравнивание бюджетной обеспеченности Тернейского муниципального округа Приморского края</w:t>
      </w:r>
      <w:r>
        <w:t xml:space="preserve">» не противоречит действующему законодательству и может быть рассмотрен Думой </w:t>
      </w:r>
      <w:r w:rsidR="00665404">
        <w:t>Тернейского муниципального</w:t>
      </w:r>
      <w:r>
        <w:t xml:space="preserve"> округа в представленной редакции.</w:t>
      </w:r>
    </w:p>
    <w:p w:rsidR="00E06982" w:rsidRDefault="00E06982" w:rsidP="009F25FB">
      <w:pPr>
        <w:ind w:firstLine="709"/>
        <w:jc w:val="both"/>
      </w:pPr>
      <w:r>
        <w:t xml:space="preserve">В ходе проведения экспертно-аналитического мероприятия Контрольно-счетной </w:t>
      </w:r>
      <w:r w:rsidR="00665404">
        <w:t>комиссией</w:t>
      </w:r>
      <w:r>
        <w:t xml:space="preserve"> коррупциогенных факторов (признаков) </w:t>
      </w:r>
      <w:r w:rsidR="007046FC">
        <w:t>не установлено</w:t>
      </w:r>
      <w:r>
        <w:t>.</w:t>
      </w:r>
    </w:p>
    <w:p w:rsidR="00E06982" w:rsidRDefault="00E06982" w:rsidP="009F25FB">
      <w:pPr>
        <w:ind w:firstLine="709"/>
        <w:jc w:val="both"/>
      </w:pPr>
      <w:r>
        <w:t xml:space="preserve">Контрольно-счетная </w:t>
      </w:r>
      <w:r w:rsidR="00665404">
        <w:t>комиссия</w:t>
      </w:r>
      <w:r>
        <w:t xml:space="preserve"> устанавливает </w:t>
      </w:r>
      <w:r w:rsidR="007046FC" w:rsidRPr="00EB2C42">
        <w:t>минимальный</w:t>
      </w:r>
      <w:r w:rsidRPr="00EB2C42">
        <w:t xml:space="preserve"> риск снижения потенциального размера доходов бюджета в</w:t>
      </w:r>
      <w:r>
        <w:t xml:space="preserve"> результате принятия настоящего проекта решения.</w:t>
      </w:r>
    </w:p>
    <w:p w:rsidR="00E06982" w:rsidRDefault="00E06982" w:rsidP="009F25FB">
      <w:pPr>
        <w:ind w:firstLine="709"/>
        <w:jc w:val="both"/>
      </w:pPr>
    </w:p>
    <w:p w:rsidR="001A3405" w:rsidRDefault="001A3405" w:rsidP="001A340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1A3405" w:rsidRDefault="001A3405" w:rsidP="001A340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1A3405" w:rsidRPr="001D37C9" w:rsidTr="00E36207">
        <w:tc>
          <w:tcPr>
            <w:tcW w:w="5778" w:type="dxa"/>
            <w:shd w:val="clear" w:color="auto" w:fill="auto"/>
          </w:tcPr>
          <w:p w:rsidR="001A3405" w:rsidRPr="001D37C9" w:rsidRDefault="001A3405" w:rsidP="00E36207">
            <w:pPr>
              <w:shd w:val="clear" w:color="auto" w:fill="FFFFFF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Председатель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1A3405" w:rsidRPr="001D37C9" w:rsidRDefault="001A3405" w:rsidP="00E36207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О.С. Тарасова</w:t>
            </w:r>
          </w:p>
        </w:tc>
      </w:tr>
    </w:tbl>
    <w:p w:rsidR="001A3405" w:rsidRDefault="001A3405" w:rsidP="009F25FB">
      <w:pPr>
        <w:ind w:firstLine="709"/>
        <w:jc w:val="both"/>
      </w:pPr>
    </w:p>
    <w:sectPr w:rsidR="001A3405" w:rsidSect="00F66C6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08"/>
    <w:rsid w:val="00000A21"/>
    <w:rsid w:val="00000D18"/>
    <w:rsid w:val="000017DE"/>
    <w:rsid w:val="00035AA8"/>
    <w:rsid w:val="00036787"/>
    <w:rsid w:val="00044581"/>
    <w:rsid w:val="00052211"/>
    <w:rsid w:val="00054A26"/>
    <w:rsid w:val="00061814"/>
    <w:rsid w:val="00071C66"/>
    <w:rsid w:val="00087F24"/>
    <w:rsid w:val="000A33FD"/>
    <w:rsid w:val="000C347B"/>
    <w:rsid w:val="000C5991"/>
    <w:rsid w:val="000E77D2"/>
    <w:rsid w:val="000F03DA"/>
    <w:rsid w:val="000F745C"/>
    <w:rsid w:val="0010490B"/>
    <w:rsid w:val="00124B86"/>
    <w:rsid w:val="00132B2E"/>
    <w:rsid w:val="00136750"/>
    <w:rsid w:val="00147099"/>
    <w:rsid w:val="00152C67"/>
    <w:rsid w:val="001626BF"/>
    <w:rsid w:val="001764E2"/>
    <w:rsid w:val="00197640"/>
    <w:rsid w:val="001A3405"/>
    <w:rsid w:val="001B22F1"/>
    <w:rsid w:val="001B2930"/>
    <w:rsid w:val="001D2656"/>
    <w:rsid w:val="001D37C9"/>
    <w:rsid w:val="001F0D31"/>
    <w:rsid w:val="00231535"/>
    <w:rsid w:val="0027558F"/>
    <w:rsid w:val="002E1EC2"/>
    <w:rsid w:val="002E7B37"/>
    <w:rsid w:val="002F0373"/>
    <w:rsid w:val="00302E4C"/>
    <w:rsid w:val="003041FB"/>
    <w:rsid w:val="00334110"/>
    <w:rsid w:val="003516D0"/>
    <w:rsid w:val="003643D8"/>
    <w:rsid w:val="00370A52"/>
    <w:rsid w:val="00372949"/>
    <w:rsid w:val="003C5BF1"/>
    <w:rsid w:val="003C60F8"/>
    <w:rsid w:val="003C629B"/>
    <w:rsid w:val="003E481B"/>
    <w:rsid w:val="003E7A5E"/>
    <w:rsid w:val="004116E4"/>
    <w:rsid w:val="00411E82"/>
    <w:rsid w:val="00412681"/>
    <w:rsid w:val="00417154"/>
    <w:rsid w:val="0041742B"/>
    <w:rsid w:val="0042223F"/>
    <w:rsid w:val="00433FBD"/>
    <w:rsid w:val="004565A2"/>
    <w:rsid w:val="00472C05"/>
    <w:rsid w:val="004B4B60"/>
    <w:rsid w:val="004C0412"/>
    <w:rsid w:val="004C38BB"/>
    <w:rsid w:val="004D2CEF"/>
    <w:rsid w:val="004F018A"/>
    <w:rsid w:val="00572DB5"/>
    <w:rsid w:val="005A2EE1"/>
    <w:rsid w:val="005A57CC"/>
    <w:rsid w:val="005A7CBE"/>
    <w:rsid w:val="005C4607"/>
    <w:rsid w:val="005C4853"/>
    <w:rsid w:val="005D392A"/>
    <w:rsid w:val="005D7FA4"/>
    <w:rsid w:val="005F2B0B"/>
    <w:rsid w:val="006261E7"/>
    <w:rsid w:val="006518AC"/>
    <w:rsid w:val="00652845"/>
    <w:rsid w:val="006533BE"/>
    <w:rsid w:val="00665404"/>
    <w:rsid w:val="0068456F"/>
    <w:rsid w:val="0069154D"/>
    <w:rsid w:val="006D2579"/>
    <w:rsid w:val="006E522F"/>
    <w:rsid w:val="006F1A6E"/>
    <w:rsid w:val="006F68B3"/>
    <w:rsid w:val="007046FC"/>
    <w:rsid w:val="00706752"/>
    <w:rsid w:val="007242BF"/>
    <w:rsid w:val="00725A54"/>
    <w:rsid w:val="00793D9F"/>
    <w:rsid w:val="007A1CA0"/>
    <w:rsid w:val="007A1D1F"/>
    <w:rsid w:val="007C0541"/>
    <w:rsid w:val="007C7164"/>
    <w:rsid w:val="007D70DD"/>
    <w:rsid w:val="007D7B2E"/>
    <w:rsid w:val="007F413F"/>
    <w:rsid w:val="00836DC9"/>
    <w:rsid w:val="00842D1F"/>
    <w:rsid w:val="0084799F"/>
    <w:rsid w:val="008676CB"/>
    <w:rsid w:val="008840EC"/>
    <w:rsid w:val="008B1DA6"/>
    <w:rsid w:val="008C1BFE"/>
    <w:rsid w:val="008C2F9A"/>
    <w:rsid w:val="008C769D"/>
    <w:rsid w:val="009016A8"/>
    <w:rsid w:val="009043C7"/>
    <w:rsid w:val="00923F8B"/>
    <w:rsid w:val="00926A3B"/>
    <w:rsid w:val="00933CC6"/>
    <w:rsid w:val="00981945"/>
    <w:rsid w:val="009874E0"/>
    <w:rsid w:val="00992275"/>
    <w:rsid w:val="00993DB7"/>
    <w:rsid w:val="00993FD6"/>
    <w:rsid w:val="00997F4F"/>
    <w:rsid w:val="009B264E"/>
    <w:rsid w:val="009B36F8"/>
    <w:rsid w:val="009C10A5"/>
    <w:rsid w:val="009F25FB"/>
    <w:rsid w:val="00A13088"/>
    <w:rsid w:val="00A17C10"/>
    <w:rsid w:val="00A17E6D"/>
    <w:rsid w:val="00A2049B"/>
    <w:rsid w:val="00A41F28"/>
    <w:rsid w:val="00A73723"/>
    <w:rsid w:val="00AA44A3"/>
    <w:rsid w:val="00AB0F60"/>
    <w:rsid w:val="00AB1FA9"/>
    <w:rsid w:val="00AC518A"/>
    <w:rsid w:val="00AE6FB9"/>
    <w:rsid w:val="00B1180F"/>
    <w:rsid w:val="00B3039C"/>
    <w:rsid w:val="00B41DEC"/>
    <w:rsid w:val="00B63AC4"/>
    <w:rsid w:val="00B65D23"/>
    <w:rsid w:val="00B6698F"/>
    <w:rsid w:val="00B80585"/>
    <w:rsid w:val="00BA778F"/>
    <w:rsid w:val="00BB1E19"/>
    <w:rsid w:val="00BC3702"/>
    <w:rsid w:val="00BC5E3D"/>
    <w:rsid w:val="00BD6512"/>
    <w:rsid w:val="00BF5A79"/>
    <w:rsid w:val="00C024AA"/>
    <w:rsid w:val="00C06723"/>
    <w:rsid w:val="00C1064D"/>
    <w:rsid w:val="00C113BB"/>
    <w:rsid w:val="00C218FC"/>
    <w:rsid w:val="00C31AFE"/>
    <w:rsid w:val="00C45508"/>
    <w:rsid w:val="00C55123"/>
    <w:rsid w:val="00C743FA"/>
    <w:rsid w:val="00C944C5"/>
    <w:rsid w:val="00C95900"/>
    <w:rsid w:val="00CB40D6"/>
    <w:rsid w:val="00CC09A2"/>
    <w:rsid w:val="00CC187A"/>
    <w:rsid w:val="00CF2E4A"/>
    <w:rsid w:val="00D05C42"/>
    <w:rsid w:val="00D176BD"/>
    <w:rsid w:val="00D21A32"/>
    <w:rsid w:val="00D56487"/>
    <w:rsid w:val="00D61745"/>
    <w:rsid w:val="00D63D40"/>
    <w:rsid w:val="00D67D2B"/>
    <w:rsid w:val="00D72A6E"/>
    <w:rsid w:val="00D90D9D"/>
    <w:rsid w:val="00D96294"/>
    <w:rsid w:val="00D96332"/>
    <w:rsid w:val="00DC4D6B"/>
    <w:rsid w:val="00DD693F"/>
    <w:rsid w:val="00DE2BB0"/>
    <w:rsid w:val="00DF3FE2"/>
    <w:rsid w:val="00DF5908"/>
    <w:rsid w:val="00E00317"/>
    <w:rsid w:val="00E06982"/>
    <w:rsid w:val="00E15C18"/>
    <w:rsid w:val="00E21D01"/>
    <w:rsid w:val="00E67526"/>
    <w:rsid w:val="00E754F5"/>
    <w:rsid w:val="00E858F8"/>
    <w:rsid w:val="00E87312"/>
    <w:rsid w:val="00E91A1F"/>
    <w:rsid w:val="00E939E0"/>
    <w:rsid w:val="00E970B9"/>
    <w:rsid w:val="00EA0E20"/>
    <w:rsid w:val="00EB2C42"/>
    <w:rsid w:val="00EB7D0D"/>
    <w:rsid w:val="00EC39C4"/>
    <w:rsid w:val="00ED287B"/>
    <w:rsid w:val="00ED6BCE"/>
    <w:rsid w:val="00EE5EEB"/>
    <w:rsid w:val="00F05DA0"/>
    <w:rsid w:val="00F1302F"/>
    <w:rsid w:val="00F209F4"/>
    <w:rsid w:val="00F32DEE"/>
    <w:rsid w:val="00F65593"/>
    <w:rsid w:val="00F65745"/>
    <w:rsid w:val="00F66C60"/>
    <w:rsid w:val="00F66DDB"/>
    <w:rsid w:val="00F67CEB"/>
    <w:rsid w:val="00F75ACE"/>
    <w:rsid w:val="00F8193C"/>
    <w:rsid w:val="00FA011B"/>
    <w:rsid w:val="00FA3F40"/>
    <w:rsid w:val="00FB3B8D"/>
    <w:rsid w:val="00FC6660"/>
    <w:rsid w:val="00FD326A"/>
    <w:rsid w:val="00FD35BA"/>
    <w:rsid w:val="00FE31B9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8A216-DEFA-4AD1-A722-5B1538C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7A1D1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DD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B7D0D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B7D0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extended-textfull">
    <w:name w:val="extended-text__full"/>
    <w:basedOn w:val="a0"/>
    <w:rsid w:val="00E858F8"/>
  </w:style>
  <w:style w:type="paragraph" w:customStyle="1" w:styleId="article">
    <w:name w:val="article"/>
    <w:basedOn w:val="a"/>
    <w:rsid w:val="00FB3B8D"/>
    <w:pPr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chapter">
    <w:name w:val="chapter"/>
    <w:basedOn w:val="a"/>
    <w:rsid w:val="00FB3B8D"/>
    <w:pPr>
      <w:ind w:firstLine="567"/>
      <w:jc w:val="both"/>
    </w:pPr>
    <w:rPr>
      <w:rFonts w:ascii="Arial" w:eastAsia="Times New Roman" w:hAnsi="Arial" w:cs="Arial"/>
      <w:sz w:val="28"/>
      <w:szCs w:val="28"/>
    </w:rPr>
  </w:style>
  <w:style w:type="table" w:styleId="a5">
    <w:name w:val="Table Grid"/>
    <w:basedOn w:val="a1"/>
    <w:rsid w:val="001D2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D96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02E4C"/>
    <w:pPr>
      <w:spacing w:after="160" w:line="259" w:lineRule="auto"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E7B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7B3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75</cp:revision>
  <cp:lastPrinted>2023-06-22T23:57:00Z</cp:lastPrinted>
  <dcterms:created xsi:type="dcterms:W3CDTF">2022-04-25T01:30:00Z</dcterms:created>
  <dcterms:modified xsi:type="dcterms:W3CDTF">2023-06-23T00:02:00Z</dcterms:modified>
</cp:coreProperties>
</file>