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22" w:rsidRDefault="00823922" w:rsidP="00510E83">
      <w:pPr>
        <w:jc w:val="center"/>
      </w:pPr>
      <w:r>
        <w:rPr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Контрольно-счетная комиссия</w:t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Тернейского муниципального округа</w:t>
      </w:r>
    </w:p>
    <w:p w:rsidR="00823922" w:rsidRPr="006F3107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</w:p>
    <w:p w:rsidR="00823922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6F3107">
        <w:rPr>
          <w:b/>
        </w:rPr>
        <w:t>ЗАКЛЮЧЕНИЕ</w:t>
      </w:r>
    </w:p>
    <w:p w:rsidR="00823922" w:rsidRPr="009E65D4" w:rsidRDefault="002D7067" w:rsidP="002F185E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  <w:r>
        <w:t>2</w:t>
      </w:r>
      <w:r w:rsidR="00E92571">
        <w:t xml:space="preserve">9 </w:t>
      </w:r>
      <w:r w:rsidR="004E50D0">
        <w:t>но</w:t>
      </w:r>
      <w:r w:rsidR="00823922">
        <w:t>ября 2023</w:t>
      </w:r>
      <w:r w:rsidR="002F185E">
        <w:t xml:space="preserve"> год</w:t>
      </w:r>
      <w:r w:rsidR="00823922">
        <w:t xml:space="preserve">                                                                                                              </w:t>
      </w:r>
      <w:r w:rsidR="00823922" w:rsidRPr="006F3107">
        <w:t xml:space="preserve">№ </w:t>
      </w:r>
      <w:r w:rsidR="0073733E">
        <w:t>6</w:t>
      </w:r>
      <w:r w:rsidR="0057135F">
        <w:t>9</w:t>
      </w:r>
      <w:r w:rsidR="00823922" w:rsidRPr="006F3107">
        <w:t>-Э</w:t>
      </w:r>
    </w:p>
    <w:p w:rsidR="00823922" w:rsidRDefault="00823922" w:rsidP="00823922">
      <w:pPr>
        <w:jc w:val="both"/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</w:t>
      </w:r>
      <w:r>
        <w:t>Об утверждении методики расчета арендной платы для объектов, находящихся в собственности Тернейского муниципального округа</w:t>
      </w:r>
      <w:r w:rsidRPr="006F3107">
        <w:t>»</w:t>
      </w:r>
    </w:p>
    <w:p w:rsidR="00823922" w:rsidRPr="006F3107" w:rsidRDefault="00823922" w:rsidP="002F185E">
      <w:pPr>
        <w:spacing w:before="120"/>
        <w:ind w:firstLine="709"/>
        <w:jc w:val="both"/>
      </w:pPr>
      <w:r w:rsidRPr="006F3107">
        <w:rPr>
          <w:bCs/>
        </w:rPr>
        <w:t xml:space="preserve">Основанием для проведения экспертизы проекта нормативно-правового акта 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A1CA0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7A1CA0">
        <w:t>.</w:t>
      </w:r>
    </w:p>
    <w:p w:rsidR="00823922" w:rsidRDefault="00823922" w:rsidP="00823922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5D7DA3" w:rsidRDefault="005D7DA3" w:rsidP="00823922">
      <w:pPr>
        <w:ind w:firstLine="709"/>
        <w:jc w:val="both"/>
        <w:rPr>
          <w:bCs/>
        </w:rPr>
      </w:pPr>
      <w:r>
        <w:rPr>
          <w:bCs/>
        </w:rPr>
        <w:t>- Бюджетный кодекс Российской Федерации (далее – БК РФ);</w:t>
      </w:r>
    </w:p>
    <w:p w:rsidR="004B6563" w:rsidRDefault="004B6563" w:rsidP="00823922">
      <w:pPr>
        <w:ind w:firstLine="709"/>
        <w:jc w:val="both"/>
        <w:rPr>
          <w:bCs/>
        </w:rPr>
      </w:pPr>
      <w:r>
        <w:rPr>
          <w:bCs/>
        </w:rPr>
        <w:t>- Гражданский Кодекс Российской Федерации (далее – ГК РФ);</w:t>
      </w:r>
    </w:p>
    <w:p w:rsidR="00C604BD" w:rsidRDefault="00C604BD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4A09A6">
        <w:rPr>
          <w:bCs/>
        </w:rPr>
        <w:t>Фе</w:t>
      </w:r>
      <w:r>
        <w:rPr>
          <w:bCs/>
        </w:rPr>
        <w:t>деральный Закон от 06.10.2003 №131-</w:t>
      </w:r>
      <w:r w:rsidRPr="004A09A6">
        <w:rPr>
          <w:bCs/>
        </w:rPr>
        <w:t>ФЗ «Об общих принципах организации</w:t>
      </w:r>
      <w:r>
        <w:rPr>
          <w:bCs/>
        </w:rPr>
        <w:t xml:space="preserve"> местного самоуправления в РФ» (далее – Закон №131-ФЗ);</w:t>
      </w:r>
    </w:p>
    <w:p w:rsidR="00B26209" w:rsidRDefault="00B26209" w:rsidP="00C604B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B26209">
        <w:rPr>
          <w:bCs/>
        </w:rPr>
        <w:t>Постановление Правительства Р</w:t>
      </w:r>
      <w:r>
        <w:rPr>
          <w:bCs/>
        </w:rPr>
        <w:t>оссийской Федерации</w:t>
      </w:r>
      <w:r w:rsidRPr="00B26209">
        <w:rPr>
          <w:bCs/>
        </w:rPr>
        <w:t xml:space="preserve"> от 23.06.2016 </w:t>
      </w:r>
      <w:r>
        <w:rPr>
          <w:bCs/>
        </w:rPr>
        <w:t>№</w:t>
      </w:r>
      <w:r w:rsidRPr="00B26209">
        <w:rPr>
          <w:bCs/>
        </w:rPr>
        <w:t xml:space="preserve">574 </w:t>
      </w:r>
      <w:r>
        <w:rPr>
          <w:bCs/>
        </w:rPr>
        <w:t>«</w:t>
      </w:r>
      <w:r w:rsidRPr="00B26209">
        <w:rPr>
          <w:bCs/>
        </w:rPr>
        <w:t>Об общих требованиях к методике прогнозирования поступлений доходов в бюджеты бюджетн</w:t>
      </w:r>
      <w:r>
        <w:rPr>
          <w:bCs/>
        </w:rPr>
        <w:t>ой системы Российской Федерации» (далее – Постановление Правительства №574);</w:t>
      </w:r>
    </w:p>
    <w:p w:rsidR="00823922" w:rsidRPr="00AA3A6D" w:rsidRDefault="00631147" w:rsidP="00AA3A6D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AA3A6D">
        <w:rPr>
          <w:bCs/>
        </w:rPr>
        <w:t>Решение Думы Тернейского муниципального района от 24.11.2015 №300 «Об утверждении порядка управления, владения и распоряжения объектами муниципальной собственности в Тернейском муниципальном районе» (далее – Порядок №300);</w:t>
      </w:r>
    </w:p>
    <w:p w:rsidR="00417D3C" w:rsidRDefault="00747448" w:rsidP="00417D3C">
      <w:pPr>
        <w:ind w:firstLine="709"/>
        <w:jc w:val="both"/>
        <w:rPr>
          <w:bCs/>
        </w:rPr>
      </w:pPr>
      <w:r>
        <w:t>- Устав Тернейского муниципального округа (далее - Устав).</w:t>
      </w:r>
    </w:p>
    <w:p w:rsidR="00417D3C" w:rsidRDefault="00417D3C" w:rsidP="00417D3C">
      <w:pPr>
        <w:ind w:firstLine="709"/>
        <w:jc w:val="both"/>
      </w:pPr>
      <w:r w:rsidRPr="004A09A6">
        <w:t>Проект решения</w:t>
      </w:r>
      <w:r w:rsidRPr="00E71676">
        <w:t xml:space="preserve"> </w:t>
      </w:r>
      <w:r w:rsidRPr="006F3107">
        <w:t>Думы Тернейского муниципального округа «</w:t>
      </w:r>
      <w:r>
        <w:t>Об утверждении методики расчета арендной платы для объектов, находящихся в собственности Тернейского муниципального округа</w:t>
      </w:r>
      <w:r w:rsidRPr="006F3107">
        <w:t>»</w:t>
      </w:r>
      <w:r>
        <w:t xml:space="preserve"> (далее - Проект решения)</w:t>
      </w:r>
      <w:r w:rsidRPr="004A09A6">
        <w:t xml:space="preserve"> с пояснительной запиской поступил в Контрольно-счетную </w:t>
      </w:r>
      <w:r w:rsidRPr="00C06F6C">
        <w:t xml:space="preserve">комиссию </w:t>
      </w:r>
      <w:r w:rsidR="0073733E">
        <w:t>2</w:t>
      </w:r>
      <w:r w:rsidR="002F185E">
        <w:t>0</w:t>
      </w:r>
      <w:r w:rsidR="0073733E">
        <w:t>.11.2023</w:t>
      </w:r>
      <w:r w:rsidR="002F185E">
        <w:t>, откорректированный проект 27.11.2023</w:t>
      </w:r>
      <w:r w:rsidR="0073733E">
        <w:t>.</w:t>
      </w:r>
      <w:r w:rsidR="00D95C23">
        <w:t xml:space="preserve"> </w:t>
      </w:r>
      <w:r w:rsidRPr="004A09A6">
        <w:t xml:space="preserve">Разработчик проекта Отдел земельных и имущественных отношений администрации Тернейского муниципального округа. </w:t>
      </w:r>
    </w:p>
    <w:p w:rsidR="002F3BD6" w:rsidRDefault="00596543" w:rsidP="002F3BD6">
      <w:pPr>
        <w:ind w:firstLine="708"/>
        <w:jc w:val="both"/>
      </w:pPr>
      <w:r>
        <w:t xml:space="preserve">Согласно статьи </w:t>
      </w:r>
      <w:r w:rsidRPr="0028454B">
        <w:t>16 Закона № 131-ФЗ</w:t>
      </w:r>
      <w:r w:rsidR="00A420F4">
        <w:t>, статьи 4 Устава</w:t>
      </w:r>
      <w:r w:rsidRPr="0028454B">
        <w:t xml:space="preserve"> владение, пользование и распоряжение имуществом, находящимся в муниципальной собственности округа, относится к вопросам местного значения. В целях реализации данного вопроса органы местного самоуправления наделены собственными полномочиями в сфере управления и распоря</w:t>
      </w:r>
      <w:r>
        <w:t>жения муниципальным имуществом.</w:t>
      </w:r>
    </w:p>
    <w:p w:rsidR="00596543" w:rsidRPr="00292353" w:rsidRDefault="00596543" w:rsidP="00292353">
      <w:pPr>
        <w:ind w:firstLine="709"/>
        <w:jc w:val="both"/>
      </w:pPr>
      <w:r>
        <w:t xml:space="preserve">На момент </w:t>
      </w:r>
      <w:r w:rsidR="00292353">
        <w:t>экспертизы Проекта решения</w:t>
      </w:r>
      <w:r>
        <w:t xml:space="preserve"> действует </w:t>
      </w:r>
      <w:r w:rsidR="00CB1E35">
        <w:t xml:space="preserve">методика расчета арендной платы для объектов, находящихся в собственности Тернейского муниципального округа </w:t>
      </w:r>
      <w:r w:rsidR="00292353">
        <w:rPr>
          <w:rStyle w:val="extended-textfull"/>
          <w:rFonts w:eastAsia="MS Mincho"/>
        </w:rPr>
        <w:t>утвержденная решением Думы Тернейского муниципального района Приморского края от 25.01.2006 №233</w:t>
      </w:r>
      <w:r w:rsidR="00292353">
        <w:t xml:space="preserve">, </w:t>
      </w:r>
      <w:r w:rsidR="00CB1E35">
        <w:t>в</w:t>
      </w:r>
      <w:r w:rsidR="00CB1E35" w:rsidRPr="00596543">
        <w:rPr>
          <w:shd w:val="clear" w:color="auto" w:fill="FFFFFF"/>
        </w:rPr>
        <w:t xml:space="preserve"> </w:t>
      </w:r>
      <w:r w:rsidR="00CB1E35">
        <w:t xml:space="preserve">редакции от 28.03.2023 №418. </w:t>
      </w:r>
    </w:p>
    <w:p w:rsidR="00CF54C9" w:rsidRDefault="00CF54C9" w:rsidP="00CF54C9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 соответ</w:t>
      </w:r>
      <w:r w:rsidR="00E546AB">
        <w:rPr>
          <w:shd w:val="clear" w:color="auto" w:fill="FFFFFF"/>
        </w:rPr>
        <w:t xml:space="preserve">ствии с частью </w:t>
      </w:r>
      <w:r>
        <w:rPr>
          <w:shd w:val="clear" w:color="auto" w:fill="FFFFFF"/>
        </w:rPr>
        <w:t>7 Постановления Правительства №574 д</w:t>
      </w:r>
      <w:r w:rsidRPr="00CF54C9">
        <w:rPr>
          <w:shd w:val="clear" w:color="auto" w:fill="FFFFFF"/>
        </w:rPr>
        <w:t>ля расчета прогнозируемого объема прочих доходов при разработке методики прогнозирования</w:t>
      </w:r>
      <w:r>
        <w:rPr>
          <w:shd w:val="clear" w:color="auto" w:fill="FFFFFF"/>
        </w:rPr>
        <w:t xml:space="preserve"> </w:t>
      </w:r>
      <w:r w:rsidRPr="00CF54C9">
        <w:rPr>
          <w:shd w:val="clear" w:color="auto" w:fill="FFFFFF"/>
        </w:rPr>
        <w:t>в части доходов от предоставления имущества, находящегося в государственной или муницип</w:t>
      </w:r>
      <w:r>
        <w:rPr>
          <w:shd w:val="clear" w:color="auto" w:fill="FFFFFF"/>
        </w:rPr>
        <w:t>альной собственности, в аренду</w:t>
      </w:r>
      <w:r w:rsidR="002F185E">
        <w:rPr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Pr="00CF54C9">
        <w:rPr>
          <w:shd w:val="clear" w:color="auto" w:fill="FFFFFF"/>
        </w:rPr>
        <w:t>при</w:t>
      </w:r>
      <w:r>
        <w:rPr>
          <w:shd w:val="clear" w:color="auto" w:fill="FFFFFF"/>
        </w:rPr>
        <w:t>меняется метод прямого расчета</w:t>
      </w:r>
      <w:r w:rsidR="002F185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CF54C9">
        <w:rPr>
          <w:shd w:val="clear" w:color="auto" w:fill="FFFFFF"/>
        </w:rPr>
        <w:t>алгоритм расчета прогнозных показателей соответствующего вида доходов основывается на данных о размере площади сдаваемых объектов, ставке арендной платы и динамике отдельных показателей прогноза социально-экономического развития, если иное не</w:t>
      </w:r>
      <w:r w:rsidR="002F185E">
        <w:rPr>
          <w:shd w:val="clear" w:color="auto" w:fill="FFFFFF"/>
        </w:rPr>
        <w:t xml:space="preserve"> предусмотрено </w:t>
      </w:r>
      <w:r w:rsidR="002F185E">
        <w:rPr>
          <w:shd w:val="clear" w:color="auto" w:fill="FFFFFF"/>
        </w:rPr>
        <w:lastRenderedPageBreak/>
        <w:t>договором аренды,</w:t>
      </w:r>
      <w:r>
        <w:rPr>
          <w:shd w:val="clear" w:color="auto" w:fill="FFFFFF"/>
        </w:rPr>
        <w:t xml:space="preserve"> </w:t>
      </w:r>
      <w:r w:rsidRPr="00CF54C9">
        <w:rPr>
          <w:shd w:val="clear" w:color="auto" w:fill="FFFFFF"/>
        </w:rPr>
        <w:t xml:space="preserve">договоры, заключенные (планируемые к заключению) с арендаторами, являются источником данных о сдаваемой в аренду </w:t>
      </w:r>
      <w:r>
        <w:rPr>
          <w:shd w:val="clear" w:color="auto" w:fill="FFFFFF"/>
        </w:rPr>
        <w:t>площади и ставке арендной платы.</w:t>
      </w:r>
    </w:p>
    <w:p w:rsidR="00CB1E35" w:rsidRDefault="00CB1E35" w:rsidP="00CB1E35">
      <w:pPr>
        <w:ind w:firstLine="709"/>
        <w:jc w:val="both"/>
        <w:rPr>
          <w:shd w:val="clear" w:color="auto" w:fill="FFFFFF"/>
        </w:rPr>
      </w:pPr>
      <w:r w:rsidRPr="00C83BB1">
        <w:rPr>
          <w:shd w:val="clear" w:color="auto" w:fill="FFFFFF"/>
        </w:rPr>
        <w:t>Проектом решения предлагается утвердить новую методику расчета арендной платы</w:t>
      </w:r>
      <w:r>
        <w:rPr>
          <w:shd w:val="clear" w:color="auto" w:fill="FFFFFF"/>
        </w:rPr>
        <w:t xml:space="preserve"> для объектов, находящихся в собственности Тернейского муниципального округа.</w:t>
      </w:r>
      <w:r w:rsidR="00CF54C9">
        <w:rPr>
          <w:shd w:val="clear" w:color="auto" w:fill="FFFFFF"/>
        </w:rPr>
        <w:t xml:space="preserve"> </w:t>
      </w:r>
      <w:r>
        <w:rPr>
          <w:shd w:val="clear" w:color="auto" w:fill="FFFFFF"/>
        </w:rPr>
        <w:t>Р</w:t>
      </w:r>
      <w:r w:rsidR="00BC74B1" w:rsidRPr="00BC74B1">
        <w:rPr>
          <w:shd w:val="clear" w:color="auto" w:fill="FFFFFF"/>
        </w:rPr>
        <w:t xml:space="preserve">асчет арендной платы </w:t>
      </w:r>
      <w:r>
        <w:rPr>
          <w:shd w:val="clear" w:color="auto" w:fill="FFFFFF"/>
        </w:rPr>
        <w:t>планируется производить</w:t>
      </w:r>
      <w:r w:rsidR="00BC74B1" w:rsidRPr="00BC74B1">
        <w:rPr>
          <w:shd w:val="clear" w:color="auto" w:fill="FFFFFF"/>
        </w:rPr>
        <w:t xml:space="preserve"> исходя из размеров базовой </w:t>
      </w:r>
      <w:r w:rsidR="00BC74B1">
        <w:rPr>
          <w:shd w:val="clear" w:color="auto" w:fill="FFFFFF"/>
        </w:rPr>
        <w:t xml:space="preserve">величины стоимости строительства за один квадратный метр площади, </w:t>
      </w:r>
      <w:r w:rsidR="00BC74B1" w:rsidRPr="00BC74B1">
        <w:rPr>
          <w:shd w:val="clear" w:color="auto" w:fill="FFFFFF"/>
        </w:rPr>
        <w:t>коэффициент</w:t>
      </w:r>
      <w:r w:rsidR="00BC74B1">
        <w:rPr>
          <w:shd w:val="clear" w:color="auto" w:fill="FFFFFF"/>
        </w:rPr>
        <w:t xml:space="preserve">а вида строительного материала, </w:t>
      </w:r>
      <w:r w:rsidR="00BC74B1" w:rsidRPr="00BC74B1">
        <w:rPr>
          <w:shd w:val="clear" w:color="auto" w:fill="FFFFFF"/>
        </w:rPr>
        <w:t xml:space="preserve">учитывающих </w:t>
      </w:r>
      <w:r w:rsidR="00BC74B1">
        <w:rPr>
          <w:shd w:val="clear" w:color="auto" w:fill="FFFFFF"/>
        </w:rPr>
        <w:t>тип</w:t>
      </w:r>
      <w:r w:rsidR="00BC74B1" w:rsidRPr="00BC74B1">
        <w:rPr>
          <w:shd w:val="clear" w:color="auto" w:fill="FFFFFF"/>
        </w:rPr>
        <w:t xml:space="preserve"> деятельности арендатора, тип помещения и его расположение на территории </w:t>
      </w:r>
      <w:r w:rsidR="00BC74B1">
        <w:rPr>
          <w:shd w:val="clear" w:color="auto" w:fill="FFFFFF"/>
        </w:rPr>
        <w:t>округа</w:t>
      </w:r>
      <w:r w:rsidR="008F2696">
        <w:rPr>
          <w:shd w:val="clear" w:color="auto" w:fill="FFFFFF"/>
        </w:rPr>
        <w:t>, качества нежилого помещения.</w:t>
      </w:r>
      <w:r>
        <w:rPr>
          <w:shd w:val="clear" w:color="auto" w:fill="FFFFFF"/>
        </w:rPr>
        <w:t xml:space="preserve"> </w:t>
      </w:r>
    </w:p>
    <w:p w:rsidR="00CB1E35" w:rsidRDefault="00CB1E35" w:rsidP="00CB1E35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Применяемая в действующей редакции б</w:t>
      </w:r>
      <w:r w:rsidR="00786238">
        <w:rPr>
          <w:shd w:val="clear" w:color="auto" w:fill="FFFFFF"/>
        </w:rPr>
        <w:t xml:space="preserve">азовая величина стоимости строительства 1 </w:t>
      </w:r>
      <w:proofErr w:type="spellStart"/>
      <w:r w:rsidR="00786238">
        <w:rPr>
          <w:shd w:val="clear" w:color="auto" w:fill="FFFFFF"/>
        </w:rPr>
        <w:t>кв.м</w:t>
      </w:r>
      <w:proofErr w:type="spellEnd"/>
      <w:r w:rsidR="00786238">
        <w:rPr>
          <w:shd w:val="clear" w:color="auto" w:fill="FFFFFF"/>
        </w:rPr>
        <w:t xml:space="preserve">. </w:t>
      </w:r>
      <w:r>
        <w:rPr>
          <w:shd w:val="clear" w:color="auto" w:fill="FFFFFF"/>
        </w:rPr>
        <w:t>установлена</w:t>
      </w:r>
      <w:r w:rsidR="00786238">
        <w:rPr>
          <w:shd w:val="clear" w:color="auto" w:fill="FFFFFF"/>
        </w:rPr>
        <w:t xml:space="preserve"> для Приморского края Государственным комитетом РФ по строительству и жилищно-коммунальному комплексу в качестве средней рыночной стоимости квадра</w:t>
      </w:r>
      <w:r w:rsidR="00153643">
        <w:rPr>
          <w:shd w:val="clear" w:color="auto" w:fill="FFFFFF"/>
        </w:rPr>
        <w:t>тного метра общей площади жилья.</w:t>
      </w:r>
      <w:r>
        <w:rPr>
          <w:shd w:val="clear" w:color="auto" w:fill="FFFFFF"/>
        </w:rPr>
        <w:t xml:space="preserve"> </w:t>
      </w:r>
    </w:p>
    <w:p w:rsidR="002F185E" w:rsidRDefault="00786238" w:rsidP="00CB1E35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Проектом решения предлагается базовую</w:t>
      </w:r>
      <w:r w:rsidR="00596543" w:rsidRPr="006E6E1C">
        <w:rPr>
          <w:shd w:val="clear" w:color="auto" w:fill="FFFFFF"/>
        </w:rPr>
        <w:t xml:space="preserve"> величин</w:t>
      </w:r>
      <w:r>
        <w:rPr>
          <w:shd w:val="clear" w:color="auto" w:fill="FFFFFF"/>
        </w:rPr>
        <w:t>у</w:t>
      </w:r>
      <w:r w:rsidR="00596543" w:rsidRPr="006E6E1C">
        <w:rPr>
          <w:shd w:val="clear" w:color="auto" w:fill="FFFFFF"/>
        </w:rPr>
        <w:t xml:space="preserve"> стоимости строительства 1 кв.</w:t>
      </w:r>
      <w:r w:rsidR="00A033D2" w:rsidRPr="006E6E1C">
        <w:rPr>
          <w:shd w:val="clear" w:color="auto" w:fill="FFFFFF"/>
        </w:rPr>
        <w:t xml:space="preserve"> </w:t>
      </w:r>
      <w:r w:rsidR="00596543" w:rsidRPr="006E6E1C">
        <w:rPr>
          <w:shd w:val="clear" w:color="auto" w:fill="FFFFFF"/>
        </w:rPr>
        <w:t>м. (</w:t>
      </w:r>
      <w:proofErr w:type="spellStart"/>
      <w:r w:rsidR="00596543" w:rsidRPr="006E6E1C">
        <w:rPr>
          <w:shd w:val="clear" w:color="auto" w:fill="FFFFFF"/>
        </w:rPr>
        <w:t>Сб</w:t>
      </w:r>
      <w:proofErr w:type="spellEnd"/>
      <w:r w:rsidR="00596543" w:rsidRPr="006E6E1C">
        <w:rPr>
          <w:shd w:val="clear" w:color="auto" w:fill="FFFFFF"/>
        </w:rPr>
        <w:t>) устанавлива</w:t>
      </w:r>
      <w:r>
        <w:rPr>
          <w:shd w:val="clear" w:color="auto" w:fill="FFFFFF"/>
        </w:rPr>
        <w:t>ть</w:t>
      </w:r>
      <w:r w:rsidR="00596543" w:rsidRPr="006E6E1C">
        <w:rPr>
          <w:shd w:val="clear" w:color="auto" w:fill="FFFFFF"/>
        </w:rPr>
        <w:t xml:space="preserve"> постановлением администрации Тернейского муниципа</w:t>
      </w:r>
      <w:r w:rsidR="00CB1E35">
        <w:rPr>
          <w:shd w:val="clear" w:color="auto" w:fill="FFFFFF"/>
        </w:rPr>
        <w:t>льного округа Приморского края и снизить к</w:t>
      </w:r>
      <w:r w:rsidR="00596543" w:rsidRPr="006E6E1C">
        <w:rPr>
          <w:shd w:val="clear" w:color="auto" w:fill="FFFFFF"/>
        </w:rPr>
        <w:t>оэффициенты</w:t>
      </w:r>
      <w:r w:rsidR="00A420F4">
        <w:rPr>
          <w:shd w:val="clear" w:color="auto" w:fill="FFFFFF"/>
        </w:rPr>
        <w:t xml:space="preserve">, применяемые для расчета </w:t>
      </w:r>
      <w:r w:rsidR="00A420F4" w:rsidRPr="00A420F4">
        <w:rPr>
          <w:shd w:val="clear" w:color="auto" w:fill="FFFFFF"/>
        </w:rPr>
        <w:t xml:space="preserve">арендной платы объектов, находящихся в </w:t>
      </w:r>
      <w:r w:rsidR="00A420F4">
        <w:rPr>
          <w:shd w:val="clear" w:color="auto" w:fill="FFFFFF"/>
        </w:rPr>
        <w:t xml:space="preserve">муниципальной </w:t>
      </w:r>
      <w:r w:rsidR="00A420F4" w:rsidRPr="00A420F4">
        <w:rPr>
          <w:shd w:val="clear" w:color="auto" w:fill="FFFFFF"/>
        </w:rPr>
        <w:t>собственности</w:t>
      </w:r>
      <w:r w:rsidR="00A420F4">
        <w:rPr>
          <w:shd w:val="clear" w:color="auto" w:fill="FFFFFF"/>
        </w:rPr>
        <w:t>,</w:t>
      </w:r>
      <w:r w:rsidR="00596543" w:rsidRPr="006E6E1C">
        <w:rPr>
          <w:shd w:val="clear" w:color="auto" w:fill="FFFFFF"/>
        </w:rPr>
        <w:t xml:space="preserve"> на 0,1 </w:t>
      </w:r>
      <w:r w:rsidR="00A420F4">
        <w:rPr>
          <w:shd w:val="clear" w:color="auto" w:fill="FFFFFF"/>
        </w:rPr>
        <w:t>единицу</w:t>
      </w:r>
      <w:r w:rsidR="00596543" w:rsidRPr="006E6E1C">
        <w:rPr>
          <w:shd w:val="clear" w:color="auto" w:fill="FFFFFF"/>
        </w:rPr>
        <w:t>.</w:t>
      </w:r>
    </w:p>
    <w:p w:rsidR="002F185E" w:rsidRDefault="008F2696" w:rsidP="00270AB7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Минимальная величина годовой арендной платы за один квадратный метр устанавливается в размере минимальной оплаты труда на расчетный момент.</w:t>
      </w:r>
      <w:r w:rsidR="0006797E">
        <w:rPr>
          <w:shd w:val="clear" w:color="auto" w:fill="FFFFFF"/>
        </w:rPr>
        <w:t xml:space="preserve"> Арендная плата для му</w:t>
      </w:r>
      <w:bookmarkStart w:id="0" w:name="_GoBack"/>
      <w:bookmarkEnd w:id="0"/>
      <w:r w:rsidR="0006797E">
        <w:rPr>
          <w:shd w:val="clear" w:color="auto" w:fill="FFFFFF"/>
        </w:rPr>
        <w:t xml:space="preserve">ниципальных учреждений </w:t>
      </w:r>
      <w:r w:rsidR="009666F7" w:rsidRPr="006E6E1C">
        <w:rPr>
          <w:shd w:val="clear" w:color="auto" w:fill="FFFFFF"/>
        </w:rPr>
        <w:t>Тернейского муниципального округа</w:t>
      </w:r>
      <w:r w:rsidR="0006797E">
        <w:rPr>
          <w:shd w:val="clear" w:color="auto" w:fill="FFFFFF"/>
        </w:rPr>
        <w:t xml:space="preserve"> устанавливается в размере 1/3 </w:t>
      </w:r>
      <w:r w:rsidR="00422816">
        <w:rPr>
          <w:shd w:val="clear" w:color="auto" w:fill="FFFFFF"/>
        </w:rPr>
        <w:t>минимального размера оплаты труда, для организаций и индивидуальных предпринимателей, оказывающих услугу по организации питания учащихся в зданиях образовательных учреждений в размере 0,1 минимальной величины годовой арендной платы.</w:t>
      </w:r>
      <w:r w:rsidR="001768DA">
        <w:rPr>
          <w:shd w:val="clear" w:color="auto" w:fill="FFFFFF"/>
        </w:rPr>
        <w:t xml:space="preserve"> </w:t>
      </w:r>
    </w:p>
    <w:p w:rsidR="002F185E" w:rsidRDefault="001768DA" w:rsidP="00270AB7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Арендная плата за пользование помещениями, расположенными в объектах незавершенного строительства, устанавливается в размере минимальной величины годовой арендной платы. </w:t>
      </w:r>
    </w:p>
    <w:p w:rsidR="002F185E" w:rsidRDefault="001768DA" w:rsidP="00270AB7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Величина годовой арендной платы за имущественный комплекс устанавливается в размере амортизационных отчислений. Величина годовой арендной платы за имущественный комплекс, предназначенный для электро</w:t>
      </w:r>
      <w:r w:rsidR="0093030D">
        <w:rPr>
          <w:shd w:val="clear" w:color="auto" w:fill="FFFFFF"/>
        </w:rPr>
        <w:t>-</w:t>
      </w:r>
      <w:r>
        <w:rPr>
          <w:shd w:val="clear" w:color="auto" w:fill="FFFFFF"/>
        </w:rPr>
        <w:t>, тепло</w:t>
      </w:r>
      <w:r w:rsidR="0093030D">
        <w:rPr>
          <w:shd w:val="clear" w:color="auto" w:fill="FFFFFF"/>
        </w:rPr>
        <w:t>-</w:t>
      </w:r>
      <w:r>
        <w:rPr>
          <w:shd w:val="clear" w:color="auto" w:fill="FFFFFF"/>
        </w:rPr>
        <w:t xml:space="preserve">, водоснабжения, водоотведения, захоронения твердых бытовых отходов, устанавливается в размере минимального размера оплаты труда. </w:t>
      </w:r>
    </w:p>
    <w:p w:rsidR="002F185E" w:rsidRDefault="001768DA" w:rsidP="00270AB7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Величина годовой арендной платы за площадки как сооружения устанавливается в размере амортизационных отчислений с коэффициентом 5. </w:t>
      </w:r>
    </w:p>
    <w:p w:rsidR="00BC74B1" w:rsidRDefault="001768DA" w:rsidP="00270AB7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Величина арендной платы движимого имущества устанавливается согласно отчета об оценке рыночной стоимости аренды движимого имущества.</w:t>
      </w:r>
    </w:p>
    <w:p w:rsidR="00C83BB1" w:rsidRPr="00C83BB1" w:rsidRDefault="00E546AB" w:rsidP="00417D3C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 соответствии с частью</w:t>
      </w:r>
      <w:r w:rsidR="00C83BB1">
        <w:rPr>
          <w:shd w:val="clear" w:color="auto" w:fill="FFFFFF"/>
        </w:rPr>
        <w:t xml:space="preserve"> 3</w:t>
      </w:r>
      <w:r>
        <w:rPr>
          <w:shd w:val="clear" w:color="auto" w:fill="FFFFFF"/>
        </w:rPr>
        <w:t xml:space="preserve"> статьи</w:t>
      </w:r>
      <w:r w:rsidR="00C83BB1">
        <w:rPr>
          <w:shd w:val="clear" w:color="auto" w:fill="FFFFFF"/>
        </w:rPr>
        <w:t xml:space="preserve"> </w:t>
      </w:r>
      <w:r w:rsidR="00C83BB1" w:rsidRPr="00C83BB1">
        <w:rPr>
          <w:shd w:val="clear" w:color="auto" w:fill="FFFFFF"/>
        </w:rPr>
        <w:t xml:space="preserve">41 </w:t>
      </w:r>
      <w:r w:rsidR="00C83BB1">
        <w:rPr>
          <w:shd w:val="clear" w:color="auto" w:fill="FFFFFF"/>
        </w:rPr>
        <w:t>БК</w:t>
      </w:r>
      <w:r w:rsidR="00C83BB1" w:rsidRPr="00C83BB1">
        <w:rPr>
          <w:shd w:val="clear" w:color="auto" w:fill="FFFFFF"/>
        </w:rPr>
        <w:t xml:space="preserve"> РФ доходы от использования имущества, находящегося в муниципальной собственности (в том числе, арендные платежи), формируют неналоговые доходы бюджета </w:t>
      </w:r>
      <w:r w:rsidR="00C83BB1">
        <w:rPr>
          <w:shd w:val="clear" w:color="auto" w:fill="FFFFFF"/>
        </w:rPr>
        <w:t>округа.</w:t>
      </w:r>
    </w:p>
    <w:p w:rsidR="00E546AB" w:rsidRDefault="00270AB7" w:rsidP="00417D3C">
      <w:pPr>
        <w:ind w:firstLine="709"/>
        <w:jc w:val="both"/>
      </w:pPr>
      <w:r w:rsidRPr="00270AB7">
        <w:t>Из финансов</w:t>
      </w:r>
      <w:r>
        <w:t>о-экономического обоснования к П</w:t>
      </w:r>
      <w:r w:rsidRPr="00270AB7">
        <w:t>роекту решения следует, что в случае его принятия предполагается</w:t>
      </w:r>
      <w:r w:rsidR="00C06F6C">
        <w:t xml:space="preserve"> увеличение поступлений арендных платежей, рассчитанных по новой методике </w:t>
      </w:r>
      <w:r w:rsidR="00E546AB" w:rsidRPr="00E546AB">
        <w:t xml:space="preserve">на </w:t>
      </w:r>
      <w:r w:rsidR="0076565D">
        <w:t>65,26</w:t>
      </w:r>
      <w:r w:rsidR="00E546AB" w:rsidRPr="00E546AB">
        <w:t xml:space="preserve">%. Сумма </w:t>
      </w:r>
      <w:r w:rsidR="00050398">
        <w:t xml:space="preserve">дополнительных </w:t>
      </w:r>
      <w:r w:rsidR="00E546AB" w:rsidRPr="00E546AB">
        <w:t xml:space="preserve">поступлений арендных платежей в доходы бюджета </w:t>
      </w:r>
      <w:r w:rsidR="00E546AB">
        <w:t xml:space="preserve">округа </w:t>
      </w:r>
      <w:r w:rsidR="00E546AB" w:rsidRPr="00E546AB">
        <w:t xml:space="preserve">составит ориентировочно </w:t>
      </w:r>
      <w:r w:rsidR="00E546AB">
        <w:t>231 187,80</w:t>
      </w:r>
      <w:r w:rsidR="00E546AB" w:rsidRPr="00E546AB">
        <w:t> рублей ежегодно</w:t>
      </w:r>
      <w:r w:rsidR="00E546AB">
        <w:t>.</w:t>
      </w:r>
    </w:p>
    <w:p w:rsidR="00417D3C" w:rsidRDefault="00C83BB1" w:rsidP="00417D3C">
      <w:pPr>
        <w:ind w:firstLine="709"/>
        <w:jc w:val="both"/>
        <w:rPr>
          <w:rStyle w:val="extended-textfull"/>
          <w:rFonts w:eastAsia="MS Mincho"/>
        </w:rPr>
      </w:pPr>
      <w:r>
        <w:t>Так же п</w:t>
      </w:r>
      <w:r w:rsidR="00417D3C">
        <w:t>редставленным на экспертизу П</w:t>
      </w:r>
      <w:r w:rsidR="00417D3C" w:rsidRPr="007A1CA0">
        <w:t xml:space="preserve">роектом решения </w:t>
      </w:r>
      <w:r w:rsidR="00417D3C" w:rsidRPr="007A1CA0">
        <w:rPr>
          <w:rStyle w:val="extended-textfull"/>
          <w:rFonts w:eastAsia="MS Mincho"/>
        </w:rPr>
        <w:t>предлагается</w:t>
      </w:r>
      <w:r w:rsidR="00417D3C">
        <w:rPr>
          <w:rStyle w:val="extended-textfull"/>
          <w:rFonts w:eastAsia="MS Mincho"/>
        </w:rPr>
        <w:t xml:space="preserve"> признать утратившим</w:t>
      </w:r>
      <w:r w:rsidR="0093030D">
        <w:rPr>
          <w:rStyle w:val="extended-textfull"/>
          <w:rFonts w:eastAsia="MS Mincho"/>
        </w:rPr>
        <w:t>и</w:t>
      </w:r>
      <w:r w:rsidR="00417D3C">
        <w:rPr>
          <w:rStyle w:val="extended-textfull"/>
          <w:rFonts w:eastAsia="MS Mincho"/>
        </w:rPr>
        <w:t xml:space="preserve"> силу:</w:t>
      </w:r>
    </w:p>
    <w:p w:rsidR="00A61C1B" w:rsidRDefault="00417D3C" w:rsidP="00A61C1B">
      <w:pPr>
        <w:ind w:firstLine="709"/>
        <w:jc w:val="both"/>
        <w:rPr>
          <w:rStyle w:val="extended-textfull"/>
          <w:rFonts w:eastAsia="MS Mincho"/>
        </w:rPr>
      </w:pPr>
      <w:r>
        <w:rPr>
          <w:rStyle w:val="extended-textfull"/>
          <w:rFonts w:eastAsia="MS Mincho"/>
        </w:rPr>
        <w:t>- методику расчета арендной платы для объектов, находящихся в собственности Тернейского муниципального района</w:t>
      </w:r>
      <w:r w:rsidR="00A61C1B">
        <w:rPr>
          <w:rStyle w:val="extended-textfull"/>
          <w:rFonts w:eastAsia="MS Mincho"/>
        </w:rPr>
        <w:t>, утв. решением Думы Тернейского муниципального района Приморского края от 25.01.2006 №233</w:t>
      </w:r>
      <w:r w:rsidR="002F185E">
        <w:rPr>
          <w:rStyle w:val="extended-textfull"/>
          <w:rFonts w:eastAsia="MS Mincho"/>
        </w:rPr>
        <w:t xml:space="preserve">, в редакции решений Думы Тернейского муниципального района от 18.04.2006 №411, </w:t>
      </w:r>
      <w:r w:rsidR="00A61C1B">
        <w:rPr>
          <w:rStyle w:val="extended-textfull"/>
          <w:rFonts w:eastAsia="MS Mincho"/>
        </w:rPr>
        <w:t>от 18.10.2007 №486</w:t>
      </w:r>
      <w:r w:rsidR="002F185E">
        <w:rPr>
          <w:rStyle w:val="extended-textfull"/>
          <w:rFonts w:eastAsia="MS Mincho"/>
        </w:rPr>
        <w:t>,</w:t>
      </w:r>
      <w:r w:rsidR="00A61C1B">
        <w:rPr>
          <w:rStyle w:val="extended-textfull"/>
          <w:rFonts w:eastAsia="MS Mincho"/>
        </w:rPr>
        <w:t xml:space="preserve"> от 09.06.2008 №50</w:t>
      </w:r>
      <w:r w:rsidR="002F185E">
        <w:rPr>
          <w:rStyle w:val="extended-textfull"/>
          <w:rFonts w:eastAsia="MS Mincho"/>
        </w:rPr>
        <w:t>,</w:t>
      </w:r>
      <w:r w:rsidR="00A61C1B">
        <w:rPr>
          <w:rStyle w:val="extended-textfull"/>
          <w:rFonts w:eastAsia="MS Mincho"/>
        </w:rPr>
        <w:t xml:space="preserve"> </w:t>
      </w:r>
      <w:r w:rsidR="002F185E">
        <w:rPr>
          <w:rStyle w:val="extended-textfull"/>
          <w:rFonts w:eastAsia="MS Mincho"/>
        </w:rPr>
        <w:t xml:space="preserve">от 01.04.2009 №143, </w:t>
      </w:r>
      <w:r w:rsidR="00A61C1B">
        <w:rPr>
          <w:rStyle w:val="extended-textfull"/>
          <w:rFonts w:eastAsia="MS Mincho"/>
        </w:rPr>
        <w:t>от 10.12.2009 №220</w:t>
      </w:r>
      <w:r w:rsidR="002F185E">
        <w:rPr>
          <w:rStyle w:val="extended-textfull"/>
          <w:rFonts w:eastAsia="MS Mincho"/>
        </w:rPr>
        <w:t xml:space="preserve">, </w:t>
      </w:r>
      <w:r w:rsidR="00A61C1B">
        <w:rPr>
          <w:rStyle w:val="extended-textfull"/>
          <w:rFonts w:eastAsia="MS Mincho"/>
        </w:rPr>
        <w:t>от 12.08.2014 №107</w:t>
      </w:r>
      <w:r w:rsidR="002F185E">
        <w:rPr>
          <w:rStyle w:val="extended-textfull"/>
          <w:rFonts w:eastAsia="MS Mincho"/>
        </w:rPr>
        <w:t xml:space="preserve">, </w:t>
      </w:r>
      <w:r w:rsidR="00A61C1B">
        <w:rPr>
          <w:rStyle w:val="extended-textfull"/>
          <w:rFonts w:eastAsia="MS Mincho"/>
        </w:rPr>
        <w:t>решени</w:t>
      </w:r>
      <w:r w:rsidR="002F185E">
        <w:rPr>
          <w:rStyle w:val="extended-textfull"/>
          <w:rFonts w:eastAsia="MS Mincho"/>
        </w:rPr>
        <w:t>я</w:t>
      </w:r>
      <w:r w:rsidR="00A61C1B">
        <w:rPr>
          <w:rStyle w:val="extended-textfull"/>
          <w:rFonts w:eastAsia="MS Mincho"/>
        </w:rPr>
        <w:t xml:space="preserve"> Думы Тернейского муниципального </w:t>
      </w:r>
      <w:r w:rsidR="0076565D">
        <w:rPr>
          <w:rStyle w:val="extended-textfull"/>
          <w:rFonts w:eastAsia="MS Mincho"/>
        </w:rPr>
        <w:t>округа</w:t>
      </w:r>
      <w:r w:rsidR="00A61C1B">
        <w:rPr>
          <w:rStyle w:val="extended-textfull"/>
          <w:rFonts w:eastAsia="MS Mincho"/>
        </w:rPr>
        <w:t xml:space="preserve"> от 28.03.2023 №418.</w:t>
      </w:r>
    </w:p>
    <w:p w:rsidR="0093030D" w:rsidRDefault="0093030D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 w:rsidRPr="00AE58A1">
        <w:rPr>
          <w:rFonts w:eastAsia="Calibri"/>
          <w:b/>
          <w:bCs/>
        </w:rPr>
        <w:t>Выводы, предложения</w:t>
      </w:r>
    </w:p>
    <w:p w:rsidR="0093030D" w:rsidRPr="00292353" w:rsidRDefault="00292353" w:rsidP="00292353">
      <w:pPr>
        <w:ind w:firstLine="567"/>
        <w:jc w:val="both"/>
        <w:rPr>
          <w:rFonts w:eastAsia="Calibri"/>
          <w:b/>
          <w:bCs/>
        </w:rPr>
      </w:pPr>
      <w:r>
        <w:rPr>
          <w:rFonts w:eastAsia="Calibri"/>
        </w:rPr>
        <w:lastRenderedPageBreak/>
        <w:t xml:space="preserve">Представленный проект решения </w:t>
      </w:r>
      <w:r w:rsidRPr="002F6037">
        <w:rPr>
          <w:rFonts w:eastAsia="Calibri"/>
        </w:rPr>
        <w:t>подготовлен в рамках полномочий администрации Т</w:t>
      </w:r>
      <w:r>
        <w:rPr>
          <w:rFonts w:eastAsia="Calibri"/>
        </w:rPr>
        <w:t>ернейского муниципального округа</w:t>
      </w:r>
      <w:r w:rsidRPr="002F6037">
        <w:rPr>
          <w:rFonts w:eastAsia="Calibri"/>
        </w:rPr>
        <w:t>, в соответствии</w:t>
      </w:r>
      <w:r>
        <w:rPr>
          <w:rFonts w:eastAsia="Calibri"/>
        </w:rPr>
        <w:t xml:space="preserve"> с федеральным законом </w:t>
      </w:r>
      <w:r w:rsidRPr="002F6037">
        <w:rPr>
          <w:rFonts w:eastAsia="Calibri"/>
        </w:rPr>
        <w:t>№ 131-ФЗ</w:t>
      </w:r>
      <w:r>
        <w:rPr>
          <w:rFonts w:eastAsia="Calibri"/>
        </w:rPr>
        <w:t>, Устава</w:t>
      </w:r>
      <w:r w:rsidRPr="002F6037">
        <w:rPr>
          <w:rFonts w:eastAsia="Calibri"/>
        </w:rPr>
        <w:t xml:space="preserve">, а также Порядком управления, владения и распоряжения объектами муниципальной собственности, утвержденным в Тернейском муниципальном округе. Цели проекта соответствуют целям решения вопросов местного значения. </w:t>
      </w:r>
      <w:r>
        <w:rPr>
          <w:rFonts w:eastAsia="Calibri"/>
          <w:b/>
          <w:bCs/>
        </w:rPr>
        <w:t xml:space="preserve"> </w:t>
      </w:r>
      <w:r w:rsidR="0093030D"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3F16D7" w:rsidRDefault="0093030D" w:rsidP="003F16D7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>, Контрольно-счетная комиссия полагает возможным рассмотрение проекта 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93030D" w:rsidRDefault="0093030D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2C4D2F" w:rsidRDefault="002C4D2F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Председатель Контрольно-счетной комиссии </w:t>
      </w:r>
    </w:p>
    <w:p w:rsidR="0093030D" w:rsidRPr="000A4808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>
        <w:rPr>
          <w:rFonts w:eastAsia="Calibri"/>
          <w:bCs/>
        </w:rPr>
        <w:t xml:space="preserve">                                          </w:t>
      </w:r>
      <w:r w:rsidRPr="000A4808">
        <w:rPr>
          <w:rFonts w:eastAsia="Calibri"/>
          <w:bCs/>
        </w:rPr>
        <w:tab/>
        <w:t>О.С. Тарасова</w:t>
      </w: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3F16D7" w:rsidRDefault="0093030D" w:rsidP="0093030D"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p w:rsidR="003F16D7" w:rsidRPr="003F16D7" w:rsidRDefault="003F16D7" w:rsidP="003F16D7"/>
    <w:p w:rsidR="003F16D7" w:rsidRPr="003F16D7" w:rsidRDefault="003F16D7" w:rsidP="003F16D7"/>
    <w:p w:rsidR="003F16D7" w:rsidRPr="003F16D7" w:rsidRDefault="003F16D7" w:rsidP="003F16D7"/>
    <w:p w:rsidR="003F16D7" w:rsidRPr="003F16D7" w:rsidRDefault="003F16D7"/>
    <w:sectPr w:rsidR="003F16D7" w:rsidRPr="003F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00"/>
    <w:rsid w:val="00050398"/>
    <w:rsid w:val="0006797E"/>
    <w:rsid w:val="00153643"/>
    <w:rsid w:val="001768DA"/>
    <w:rsid w:val="0024519F"/>
    <w:rsid w:val="00270AB7"/>
    <w:rsid w:val="00292353"/>
    <w:rsid w:val="002C4D2F"/>
    <w:rsid w:val="002D7067"/>
    <w:rsid w:val="002F185E"/>
    <w:rsid w:val="002F3BD6"/>
    <w:rsid w:val="003F16D7"/>
    <w:rsid w:val="00417D3C"/>
    <w:rsid w:val="00422816"/>
    <w:rsid w:val="004B6563"/>
    <w:rsid w:val="004E50D0"/>
    <w:rsid w:val="004F70DF"/>
    <w:rsid w:val="00510E83"/>
    <w:rsid w:val="0057135F"/>
    <w:rsid w:val="00596543"/>
    <w:rsid w:val="005D7DA3"/>
    <w:rsid w:val="00631147"/>
    <w:rsid w:val="006612F9"/>
    <w:rsid w:val="006E6E1C"/>
    <w:rsid w:val="0073733E"/>
    <w:rsid w:val="00747448"/>
    <w:rsid w:val="00761C46"/>
    <w:rsid w:val="0076565D"/>
    <w:rsid w:val="00786238"/>
    <w:rsid w:val="007A63C1"/>
    <w:rsid w:val="00823922"/>
    <w:rsid w:val="00862951"/>
    <w:rsid w:val="008B089D"/>
    <w:rsid w:val="008F2696"/>
    <w:rsid w:val="0093030D"/>
    <w:rsid w:val="009666F7"/>
    <w:rsid w:val="009F29DD"/>
    <w:rsid w:val="009F2E58"/>
    <w:rsid w:val="00A033D2"/>
    <w:rsid w:val="00A420F4"/>
    <w:rsid w:val="00A61C1B"/>
    <w:rsid w:val="00A80257"/>
    <w:rsid w:val="00A81100"/>
    <w:rsid w:val="00AA3A6D"/>
    <w:rsid w:val="00B26209"/>
    <w:rsid w:val="00B52E43"/>
    <w:rsid w:val="00BC74B1"/>
    <w:rsid w:val="00C06F6C"/>
    <w:rsid w:val="00C604BD"/>
    <w:rsid w:val="00C83BB1"/>
    <w:rsid w:val="00CB1E35"/>
    <w:rsid w:val="00CF54C9"/>
    <w:rsid w:val="00D76B4D"/>
    <w:rsid w:val="00D86AE4"/>
    <w:rsid w:val="00D95C23"/>
    <w:rsid w:val="00E04C96"/>
    <w:rsid w:val="00E546AB"/>
    <w:rsid w:val="00E823EE"/>
    <w:rsid w:val="00E92571"/>
    <w:rsid w:val="00E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A37F-9034-42F8-9C27-DBC4642B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23922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922"/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823922"/>
    <w:pPr>
      <w:spacing w:before="100" w:beforeAutospacing="1" w:after="100" w:afterAutospacing="1"/>
    </w:pPr>
    <w:rPr>
      <w:rFonts w:eastAsia="MS Mincho"/>
    </w:rPr>
  </w:style>
  <w:style w:type="character" w:customStyle="1" w:styleId="a4">
    <w:name w:val="Верхний колонтитул Знак"/>
    <w:basedOn w:val="a0"/>
    <w:link w:val="a3"/>
    <w:rsid w:val="00823922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rsid w:val="00417D3C"/>
  </w:style>
  <w:style w:type="paragraph" w:styleId="a5">
    <w:name w:val="Normal (Web)"/>
    <w:basedOn w:val="a"/>
    <w:uiPriority w:val="99"/>
    <w:semiHidden/>
    <w:unhideWhenUsed/>
    <w:rsid w:val="0006797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6797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20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0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2023-11-29T04:10:00Z</cp:lastPrinted>
  <dcterms:created xsi:type="dcterms:W3CDTF">2023-10-19T05:50:00Z</dcterms:created>
  <dcterms:modified xsi:type="dcterms:W3CDTF">2023-11-29T04:12:00Z</dcterms:modified>
</cp:coreProperties>
</file>