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bookmarkStart w:id="0" w:name="_GoBack"/>
      <w:bookmarkEnd w:id="0"/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3438"/>
        <w:gridCol w:w="3023"/>
        <w:gridCol w:w="2895"/>
      </w:tblGrid>
      <w:tr w:rsidR="00A4191D" w:rsidRPr="00B27A16" w:rsidTr="00035EBC">
        <w:tc>
          <w:tcPr>
            <w:tcW w:w="3438" w:type="dxa"/>
            <w:shd w:val="clear" w:color="auto" w:fill="auto"/>
          </w:tcPr>
          <w:p w:rsidR="00A4191D" w:rsidRPr="00105276" w:rsidRDefault="00A4191D" w:rsidP="00035EBC">
            <w:pPr>
              <w:rPr>
                <w:rFonts w:eastAsia="Times New Roman"/>
                <w:highlight w:val="yellow"/>
              </w:rPr>
            </w:pPr>
            <w:r w:rsidRPr="00C8779C">
              <w:rPr>
                <w:rFonts w:eastAsia="Times New Roman"/>
              </w:rPr>
              <w:t xml:space="preserve"> </w:t>
            </w:r>
            <w:r w:rsidR="00324BB8">
              <w:rPr>
                <w:rFonts w:eastAsia="Times New Roman"/>
              </w:rPr>
              <w:t xml:space="preserve">15 </w:t>
            </w:r>
            <w:r w:rsidR="00035EBC" w:rsidRPr="00324BB8">
              <w:rPr>
                <w:rFonts w:eastAsia="Times New Roman"/>
              </w:rPr>
              <w:t>сентября</w:t>
            </w:r>
            <w:r w:rsidRPr="00324BB8">
              <w:rPr>
                <w:rFonts w:eastAsia="Times New Roman"/>
              </w:rPr>
              <w:t xml:space="preserve"> 2023 г.</w:t>
            </w:r>
          </w:p>
        </w:tc>
        <w:tc>
          <w:tcPr>
            <w:tcW w:w="3023" w:type="dxa"/>
          </w:tcPr>
          <w:p w:rsidR="00A4191D" w:rsidRPr="00105276" w:rsidRDefault="00A4191D" w:rsidP="00721B28">
            <w:pPr>
              <w:jc w:val="right"/>
              <w:rPr>
                <w:rFonts w:eastAsia="Times New Roman"/>
                <w:highlight w:val="yellow"/>
              </w:rPr>
            </w:pPr>
          </w:p>
        </w:tc>
        <w:tc>
          <w:tcPr>
            <w:tcW w:w="2895" w:type="dxa"/>
            <w:shd w:val="clear" w:color="auto" w:fill="auto"/>
          </w:tcPr>
          <w:p w:rsidR="00A4191D" w:rsidRPr="00B27A16" w:rsidRDefault="00A4191D" w:rsidP="00991CB3">
            <w:pPr>
              <w:jc w:val="right"/>
              <w:rPr>
                <w:rFonts w:eastAsia="Times New Roman"/>
              </w:rPr>
            </w:pPr>
            <w:r w:rsidRPr="00B27A16">
              <w:rPr>
                <w:rFonts w:eastAsia="Times New Roman"/>
              </w:rPr>
              <w:t xml:space="preserve">№ </w:t>
            </w:r>
            <w:r w:rsidR="00D938D5">
              <w:rPr>
                <w:rFonts w:eastAsia="Times New Roman"/>
              </w:rPr>
              <w:t>4</w:t>
            </w:r>
            <w:r w:rsidR="00035EBC">
              <w:rPr>
                <w:rFonts w:eastAsia="Times New Roman"/>
              </w:rPr>
              <w:t>5</w:t>
            </w:r>
            <w:r w:rsidRPr="00B27A16">
              <w:rPr>
                <w:rFonts w:eastAsia="Times New Roman"/>
              </w:rPr>
              <w:t xml:space="preserve">-Э </w:t>
            </w:r>
          </w:p>
        </w:tc>
      </w:tr>
    </w:tbl>
    <w:p w:rsidR="00C90E8F" w:rsidRPr="008A2F50" w:rsidRDefault="00A4191D" w:rsidP="008A2F50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администрации Тернейского муниципального округа «Об утверждении муниципальной программы </w:t>
      </w:r>
      <w:r w:rsidRPr="00821390">
        <w:rPr>
          <w:rFonts w:eastAsia="Times New Roman"/>
        </w:rPr>
        <w:t>«</w:t>
      </w:r>
      <w:r w:rsidR="00D938D5">
        <w:rPr>
          <w:rFonts w:eastAsia="Times New Roman"/>
        </w:rPr>
        <w:t>О</w:t>
      </w:r>
      <w:r w:rsidR="00991CB3">
        <w:rPr>
          <w:rFonts w:eastAsia="Times New Roman"/>
        </w:rPr>
        <w:t xml:space="preserve">рганизация ритуальных услуг и содержание мест захоронения (кладбищ) на территории </w:t>
      </w:r>
      <w:r w:rsidR="002F0254">
        <w:rPr>
          <w:rFonts w:eastAsia="Times New Roman"/>
        </w:rPr>
        <w:t>Тернейско</w:t>
      </w:r>
      <w:r w:rsidR="00D938D5">
        <w:rPr>
          <w:rFonts w:eastAsia="Times New Roman"/>
        </w:rPr>
        <w:t>го</w:t>
      </w:r>
      <w:r w:rsidR="002F0254">
        <w:rPr>
          <w:rFonts w:eastAsia="Times New Roman"/>
        </w:rPr>
        <w:t xml:space="preserve"> муниципально</w:t>
      </w:r>
      <w:r w:rsidR="00D938D5">
        <w:rPr>
          <w:rFonts w:eastAsia="Times New Roman"/>
        </w:rPr>
        <w:t>го</w:t>
      </w:r>
      <w:r w:rsidR="00062813">
        <w:rPr>
          <w:rFonts w:eastAsia="Times New Roman"/>
        </w:rPr>
        <w:t xml:space="preserve"> </w:t>
      </w:r>
      <w:r w:rsidR="002F0254">
        <w:rPr>
          <w:rFonts w:eastAsia="Times New Roman"/>
        </w:rPr>
        <w:t>округ</w:t>
      </w:r>
      <w:r w:rsidR="00D938D5">
        <w:rPr>
          <w:rFonts w:eastAsia="Times New Roman"/>
        </w:rPr>
        <w:t>а</w:t>
      </w:r>
      <w:r w:rsidR="002F0254">
        <w:rPr>
          <w:rFonts w:eastAsia="Times New Roman"/>
        </w:rPr>
        <w:t xml:space="preserve"> </w:t>
      </w:r>
      <w:r w:rsidRPr="00821390">
        <w:rPr>
          <w:rFonts w:eastAsia="Times New Roman"/>
        </w:rPr>
        <w:t>на 20</w:t>
      </w:r>
      <w:r>
        <w:rPr>
          <w:rFonts w:eastAsia="Times New Roman"/>
        </w:rPr>
        <w:t>24</w:t>
      </w:r>
      <w:r w:rsidRPr="00821390">
        <w:rPr>
          <w:rFonts w:eastAsia="Times New Roman"/>
        </w:rPr>
        <w:t>-20</w:t>
      </w:r>
      <w:r>
        <w:rPr>
          <w:rFonts w:eastAsia="Times New Roman"/>
        </w:rPr>
        <w:t>30</w:t>
      </w:r>
      <w:r w:rsidRPr="00821390">
        <w:rPr>
          <w:rFonts w:eastAsia="Times New Roman"/>
        </w:rPr>
        <w:t xml:space="preserve"> годы</w:t>
      </w:r>
      <w:r w:rsidR="002F0254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8A2F50" w:rsidRPr="0093390E" w:rsidRDefault="008A2F50" w:rsidP="008A2F50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="005549A9" w:rsidRPr="005549A9">
        <w:rPr>
          <w:bCs/>
        </w:rPr>
        <w:t>«Об утверждении муниципальной программы «Организация ритуальных услуг и содержание мест захоронения (кладбищ) на территории Тернейского муниципал</w:t>
      </w:r>
      <w:r w:rsidR="005549A9">
        <w:rPr>
          <w:bCs/>
        </w:rPr>
        <w:t>ьного округа на 2024-2030 годы»</w:t>
      </w:r>
      <w:r w:rsidR="00231485">
        <w:rPr>
          <w:rFonts w:eastAsia="Times New Roman"/>
        </w:rPr>
        <w:t xml:space="preserve"> </w:t>
      </w:r>
      <w:r w:rsidRPr="0093390E">
        <w:rPr>
          <w:bCs/>
        </w:rPr>
        <w:t xml:space="preserve">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Pr="0093390E" w:rsidRDefault="008A2F50" w:rsidP="008A2F50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B924E4" w:rsidRDefault="008A2F50" w:rsidP="008A2F50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93390E">
        <w:rPr>
          <w:rFonts w:ascii="Times New Roman" w:eastAsia="MS Mincho" w:hAnsi="Times New Roman"/>
          <w:i w:val="0"/>
          <w:szCs w:val="24"/>
        </w:rPr>
        <w:t>Программа рассмотрена на предмет соответствия БК РФ, Порядку разработки МП и иным нормативным правовым актам, регламентирую</w:t>
      </w:r>
      <w:r w:rsidR="00B924E4">
        <w:rPr>
          <w:rFonts w:ascii="Times New Roman" w:eastAsia="MS Mincho" w:hAnsi="Times New Roman"/>
          <w:i w:val="0"/>
          <w:szCs w:val="24"/>
        </w:rPr>
        <w:t>щим сферу реализации Программы.</w:t>
      </w:r>
    </w:p>
    <w:p w:rsidR="008A2F50" w:rsidRDefault="008A2F50" w:rsidP="008A2F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324BB8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Pr="00324BB8">
        <w:rPr>
          <w:rFonts w:ascii="Times New Roman" w:hAnsi="Times New Roman"/>
          <w:i w:val="0"/>
        </w:rPr>
        <w:t xml:space="preserve">об утверждении муниципальной программы </w:t>
      </w:r>
      <w:r w:rsidR="00E666C2" w:rsidRPr="00324BB8">
        <w:rPr>
          <w:rFonts w:ascii="Times New Roman" w:hAnsi="Times New Roman"/>
          <w:i w:val="0"/>
        </w:rPr>
        <w:t xml:space="preserve">с пояснительной запиской </w:t>
      </w:r>
      <w:r w:rsidRPr="00324BB8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5549A9" w:rsidRPr="00324BB8">
        <w:rPr>
          <w:rFonts w:ascii="Times New Roman" w:hAnsi="Times New Roman"/>
          <w:i w:val="0"/>
          <w:color w:val="000000"/>
        </w:rPr>
        <w:t>31</w:t>
      </w:r>
      <w:r w:rsidR="00251C86" w:rsidRPr="00324BB8">
        <w:rPr>
          <w:rFonts w:ascii="Times New Roman" w:hAnsi="Times New Roman"/>
          <w:i w:val="0"/>
          <w:color w:val="000000"/>
        </w:rPr>
        <w:t>.08</w:t>
      </w:r>
      <w:r w:rsidR="00E666C2" w:rsidRPr="00324BB8">
        <w:rPr>
          <w:rFonts w:ascii="Times New Roman" w:hAnsi="Times New Roman"/>
          <w:i w:val="0"/>
        </w:rPr>
        <w:t>.</w:t>
      </w:r>
      <w:r w:rsidRPr="00324BB8">
        <w:rPr>
          <w:rFonts w:ascii="Times New Roman" w:hAnsi="Times New Roman"/>
          <w:i w:val="0"/>
        </w:rPr>
        <w:t>2023</w:t>
      </w:r>
      <w:r w:rsidR="00AA1FCE" w:rsidRPr="00324BB8">
        <w:rPr>
          <w:rFonts w:ascii="Times New Roman" w:hAnsi="Times New Roman"/>
          <w:i w:val="0"/>
        </w:rPr>
        <w:t xml:space="preserve">, исправленный вариант </w:t>
      </w:r>
      <w:r w:rsidR="00324BB8" w:rsidRPr="00324BB8">
        <w:rPr>
          <w:rFonts w:ascii="Times New Roman" w:hAnsi="Times New Roman"/>
          <w:i w:val="0"/>
        </w:rPr>
        <w:t>15</w:t>
      </w:r>
      <w:r w:rsidR="00715133" w:rsidRPr="00324BB8">
        <w:rPr>
          <w:rFonts w:ascii="Times New Roman" w:hAnsi="Times New Roman"/>
          <w:i w:val="0"/>
        </w:rPr>
        <w:t>.09.2023.</w:t>
      </w:r>
    </w:p>
    <w:p w:rsidR="009A0816" w:rsidRDefault="009A0816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A0816">
        <w:rPr>
          <w:rFonts w:ascii="Times New Roman" w:hAnsi="Times New Roman"/>
          <w:i w:val="0"/>
        </w:rPr>
        <w:t>Разработчик и координатор программы отдел жизнеобеспечения и развития инфраструктуры администрации Тернейского муниципального округа Приморского края</w:t>
      </w:r>
      <w:r w:rsidR="00B924E4">
        <w:rPr>
          <w:rFonts w:ascii="Times New Roman" w:hAnsi="Times New Roman"/>
          <w:i w:val="0"/>
        </w:rPr>
        <w:t xml:space="preserve">. </w:t>
      </w:r>
      <w:r w:rsidRPr="009A0816">
        <w:rPr>
          <w:rFonts w:ascii="Times New Roman" w:hAnsi="Times New Roman"/>
          <w:i w:val="0"/>
        </w:rPr>
        <w:t>В соответствии с пунктом 1.2 Порядка разработки</w:t>
      </w:r>
      <w:r w:rsidR="00B924E4">
        <w:rPr>
          <w:rFonts w:ascii="Times New Roman" w:hAnsi="Times New Roman"/>
          <w:i w:val="0"/>
        </w:rPr>
        <w:t xml:space="preserve"> МП </w:t>
      </w:r>
      <w:r w:rsidRPr="009A0816">
        <w:rPr>
          <w:rFonts w:ascii="Times New Roman" w:hAnsi="Times New Roman"/>
          <w:i w:val="0"/>
        </w:rPr>
        <w:t>муниципальным заказчиком Программы является администрация Тернейского муниципального округа Приморского края.</w:t>
      </w:r>
    </w:p>
    <w:p w:rsidR="00CC5780" w:rsidRDefault="005B51F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5B51FA">
        <w:rPr>
          <w:rFonts w:ascii="Times New Roman" w:hAnsi="Times New Roman"/>
          <w:i w:val="0"/>
        </w:rPr>
        <w:t>Согласно паспорта Программы цел</w:t>
      </w:r>
      <w:r w:rsidR="00CC5780">
        <w:rPr>
          <w:rFonts w:ascii="Times New Roman" w:hAnsi="Times New Roman"/>
          <w:i w:val="0"/>
        </w:rPr>
        <w:t>и</w:t>
      </w:r>
      <w:r w:rsidRPr="005B51FA">
        <w:rPr>
          <w:rFonts w:ascii="Times New Roman" w:hAnsi="Times New Roman"/>
          <w:i w:val="0"/>
        </w:rPr>
        <w:t xml:space="preserve"> программы: </w:t>
      </w:r>
    </w:p>
    <w:p w:rsidR="006E4D88" w:rsidRDefault="006E4D88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226DFD">
        <w:rPr>
          <w:rFonts w:ascii="Times New Roman" w:hAnsi="Times New Roman"/>
          <w:i w:val="0"/>
        </w:rPr>
        <w:t xml:space="preserve">повышение </w:t>
      </w:r>
      <w:r w:rsidR="008D7D3D">
        <w:rPr>
          <w:rFonts w:ascii="Times New Roman" w:hAnsi="Times New Roman"/>
          <w:i w:val="0"/>
        </w:rPr>
        <w:t>качества ритуальных услуг</w:t>
      </w:r>
      <w:r w:rsidR="00226DFD">
        <w:rPr>
          <w:rFonts w:ascii="Times New Roman" w:hAnsi="Times New Roman"/>
          <w:i w:val="0"/>
        </w:rPr>
        <w:t>;</w:t>
      </w:r>
    </w:p>
    <w:p w:rsidR="00226DFD" w:rsidRDefault="00226DFD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8D7D3D">
        <w:rPr>
          <w:rFonts w:ascii="Times New Roman" w:hAnsi="Times New Roman"/>
          <w:i w:val="0"/>
        </w:rPr>
        <w:t>совершенствование системы организации похоронного дела</w:t>
      </w:r>
      <w:r w:rsidR="00B008DF">
        <w:rPr>
          <w:rFonts w:ascii="Times New Roman" w:hAnsi="Times New Roman"/>
          <w:i w:val="0"/>
        </w:rPr>
        <w:t>;</w:t>
      </w:r>
    </w:p>
    <w:p w:rsidR="00B008DF" w:rsidRDefault="00B008D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8D7D3D">
        <w:rPr>
          <w:rFonts w:ascii="Times New Roman" w:hAnsi="Times New Roman"/>
          <w:i w:val="0"/>
        </w:rPr>
        <w:t>обеспечение содержания в надлежащем порядке территорий кладбищ в соответствии с санитарно-эпидемиологическими нормами.</w:t>
      </w:r>
    </w:p>
    <w:p w:rsidR="008D7D3D" w:rsidRDefault="00EA1B6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EA1B6F">
        <w:rPr>
          <w:rFonts w:ascii="Times New Roman" w:hAnsi="Times New Roman"/>
          <w:i w:val="0"/>
        </w:rPr>
        <w:t>Для реализации данных целей, предусмотрено решение следующих задач:</w:t>
      </w:r>
    </w:p>
    <w:p w:rsidR="00EA1B6F" w:rsidRDefault="00EA1B6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очистка терри</w:t>
      </w:r>
      <w:r w:rsidR="00E36B62">
        <w:rPr>
          <w:rFonts w:ascii="Times New Roman" w:hAnsi="Times New Roman"/>
          <w:i w:val="0"/>
        </w:rPr>
        <w:t xml:space="preserve">тории мест погребения от мусора, </w:t>
      </w:r>
      <w:r w:rsidR="00B76313" w:rsidRPr="00B76313">
        <w:rPr>
          <w:rFonts w:ascii="Times New Roman" w:hAnsi="Times New Roman"/>
          <w:i w:val="0"/>
        </w:rPr>
        <w:t>расчистка</w:t>
      </w:r>
      <w:r w:rsidR="00E36B62" w:rsidRPr="00B76313">
        <w:rPr>
          <w:rFonts w:ascii="Times New Roman" w:hAnsi="Times New Roman"/>
          <w:i w:val="0"/>
        </w:rPr>
        <w:t xml:space="preserve"> снега;</w:t>
      </w:r>
    </w:p>
    <w:p w:rsidR="00EA1B6F" w:rsidRDefault="00EA1B6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определение границ мест погребения;</w:t>
      </w:r>
    </w:p>
    <w:p w:rsidR="00EA1B6F" w:rsidRDefault="00EA1B6F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3A35F4">
        <w:rPr>
          <w:rFonts w:ascii="Times New Roman" w:hAnsi="Times New Roman"/>
          <w:i w:val="0"/>
        </w:rPr>
        <w:t>проведение строительных и монтажных работ по ограждению мест захоронения (кладбищ);</w:t>
      </w:r>
    </w:p>
    <w:p w:rsidR="00EA0E13" w:rsidRDefault="00410D80" w:rsidP="008D7D3D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Pr="00D412C7">
        <w:rPr>
          <w:rFonts w:ascii="Times New Roman" w:hAnsi="Times New Roman"/>
          <w:i w:val="0"/>
        </w:rPr>
        <w:t>проведение</w:t>
      </w:r>
      <w:r w:rsidR="00E36B62" w:rsidRPr="00D412C7">
        <w:rPr>
          <w:rFonts w:ascii="Times New Roman" w:hAnsi="Times New Roman"/>
          <w:i w:val="0"/>
        </w:rPr>
        <w:t xml:space="preserve"> </w:t>
      </w:r>
      <w:r w:rsidR="00E36B62" w:rsidRPr="00BF2EC2">
        <w:rPr>
          <w:rFonts w:ascii="Times New Roman" w:hAnsi="Times New Roman"/>
          <w:i w:val="0"/>
        </w:rPr>
        <w:t>инвентаризации</w:t>
      </w:r>
      <w:r w:rsidRPr="00BF2EC2">
        <w:rPr>
          <w:rFonts w:ascii="Times New Roman" w:hAnsi="Times New Roman"/>
          <w:i w:val="0"/>
        </w:rPr>
        <w:t xml:space="preserve"> мест </w:t>
      </w:r>
      <w:r w:rsidR="00C04127" w:rsidRPr="00BF2EC2">
        <w:rPr>
          <w:rFonts w:ascii="Times New Roman" w:hAnsi="Times New Roman"/>
          <w:i w:val="0"/>
        </w:rPr>
        <w:t>погребений, расположенных на территории</w:t>
      </w:r>
      <w:r w:rsidR="00B76313" w:rsidRPr="00BF2EC2">
        <w:rPr>
          <w:rFonts w:ascii="Times New Roman" w:hAnsi="Times New Roman"/>
          <w:i w:val="0"/>
        </w:rPr>
        <w:t xml:space="preserve"> Тернейского муниципального округа</w:t>
      </w:r>
      <w:r w:rsidR="00C04127" w:rsidRPr="00BF2EC2">
        <w:rPr>
          <w:rFonts w:ascii="Times New Roman" w:hAnsi="Times New Roman"/>
          <w:i w:val="0"/>
        </w:rPr>
        <w:t>;</w:t>
      </w:r>
    </w:p>
    <w:p w:rsidR="008D7D3D" w:rsidRDefault="003A35F4" w:rsidP="007C71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lastRenderedPageBreak/>
        <w:t>- обеспечение погребения невостребованных умерших, в соответствии с гарантированным перечнем услуг.</w:t>
      </w:r>
    </w:p>
    <w:p w:rsidR="00771ED6" w:rsidRDefault="002D493B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2D493B">
        <w:rPr>
          <w:rFonts w:ascii="Times New Roman" w:hAnsi="Times New Roman"/>
          <w:i w:val="0"/>
        </w:rPr>
        <w:t>Программу планируется реализовать в 202</w:t>
      </w:r>
      <w:r>
        <w:rPr>
          <w:rFonts w:ascii="Times New Roman" w:hAnsi="Times New Roman"/>
          <w:i w:val="0"/>
        </w:rPr>
        <w:t>4</w:t>
      </w:r>
      <w:r w:rsidRPr="002D493B">
        <w:rPr>
          <w:rFonts w:ascii="Times New Roman" w:hAnsi="Times New Roman"/>
          <w:i w:val="0"/>
        </w:rPr>
        <w:t xml:space="preserve">-2030 годы. Программой предусмотрено исполнение </w:t>
      </w:r>
      <w:r>
        <w:rPr>
          <w:rFonts w:ascii="Times New Roman" w:hAnsi="Times New Roman"/>
          <w:i w:val="0"/>
        </w:rPr>
        <w:t>д</w:t>
      </w:r>
      <w:r w:rsidR="00771ED6">
        <w:rPr>
          <w:rFonts w:ascii="Times New Roman" w:hAnsi="Times New Roman"/>
          <w:i w:val="0"/>
        </w:rPr>
        <w:t>вух основных мероприятий:</w:t>
      </w:r>
    </w:p>
    <w:p w:rsidR="002D493B" w:rsidRDefault="00771ED6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5610DB">
        <w:rPr>
          <w:rFonts w:ascii="Times New Roman" w:hAnsi="Times New Roman"/>
          <w:i w:val="0"/>
        </w:rPr>
        <w:t>мероприятия по содержанию мест захоронений (кладбищ)</w:t>
      </w:r>
      <w:r>
        <w:rPr>
          <w:rFonts w:ascii="Times New Roman" w:hAnsi="Times New Roman"/>
          <w:i w:val="0"/>
        </w:rPr>
        <w:t>;</w:t>
      </w:r>
    </w:p>
    <w:p w:rsidR="00771ED6" w:rsidRDefault="00771ED6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5610DB">
        <w:rPr>
          <w:rFonts w:ascii="Times New Roman" w:hAnsi="Times New Roman"/>
          <w:i w:val="0"/>
        </w:rPr>
        <w:t>мероприятия по организации ритуальных услуг</w:t>
      </w:r>
      <w:r w:rsidR="001B6D5B">
        <w:rPr>
          <w:rFonts w:ascii="Times New Roman" w:hAnsi="Times New Roman"/>
          <w:i w:val="0"/>
        </w:rPr>
        <w:t>.</w:t>
      </w:r>
    </w:p>
    <w:p w:rsidR="005610DB" w:rsidRPr="00A75290" w:rsidRDefault="00A75290" w:rsidP="00A7529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A75290">
        <w:rPr>
          <w:rFonts w:ascii="Times New Roman" w:hAnsi="Times New Roman"/>
          <w:i w:val="0"/>
        </w:rPr>
        <w:t xml:space="preserve">Источник финансирования мероприятий Программы согласно паспорту – бюджет Тернейского муниципального округа, средства бюджета Приморского </w:t>
      </w:r>
      <w:r w:rsidR="0004213B">
        <w:rPr>
          <w:rFonts w:ascii="Times New Roman" w:hAnsi="Times New Roman"/>
          <w:i w:val="0"/>
        </w:rPr>
        <w:t>края.</w:t>
      </w:r>
    </w:p>
    <w:p w:rsidR="009F3E7A" w:rsidRDefault="009F3E7A" w:rsidP="009F3E7A">
      <w:pPr>
        <w:pStyle w:val="ConsPlusNormal"/>
        <w:ind w:firstLine="709"/>
        <w:jc w:val="both"/>
      </w:pPr>
      <w:r w:rsidRPr="009F3E7A">
        <w:t xml:space="preserve">Финансово-экономическое обоснование объемов финансирования программных мероприятий на 2024-2030 годы представлено в виде </w:t>
      </w:r>
      <w:r w:rsidR="003B3788">
        <w:t xml:space="preserve">расчета </w:t>
      </w:r>
      <w:r w:rsidRPr="009F3E7A">
        <w:t xml:space="preserve">планируемых затрат с </w:t>
      </w:r>
      <w:r w:rsidR="003B3788">
        <w:t>применением индекса дефлятора</w:t>
      </w:r>
      <w:r w:rsidR="00A75290">
        <w:t>.</w:t>
      </w:r>
    </w:p>
    <w:p w:rsidR="00D06CB7" w:rsidRDefault="006E1B28" w:rsidP="009F3E7A">
      <w:pPr>
        <w:pStyle w:val="ConsPlusNormal"/>
        <w:ind w:firstLine="709"/>
        <w:jc w:val="both"/>
      </w:pPr>
      <w:r w:rsidRPr="00E55626">
        <w:t>О</w:t>
      </w:r>
      <w:r w:rsidR="00D06CB7" w:rsidRPr="00E55626">
        <w:t>шибки, допущенные в расчетах объем</w:t>
      </w:r>
      <w:r w:rsidRPr="00E55626">
        <w:t>ов</w:t>
      </w:r>
      <w:r w:rsidR="00D06CB7" w:rsidRPr="00E55626">
        <w:t xml:space="preserve"> финансирования</w:t>
      </w:r>
      <w:r w:rsidRPr="00E55626">
        <w:t xml:space="preserve"> программы -</w:t>
      </w:r>
      <w:r w:rsidR="00D06CB7" w:rsidRPr="00E55626">
        <w:t xml:space="preserve"> исправлены. </w:t>
      </w:r>
      <w:r w:rsidR="00BF2EC2" w:rsidRPr="00E55626">
        <w:t xml:space="preserve">Табличная форма паспорта программы приведена в соответствие с текстовой частью паспорта. </w:t>
      </w:r>
      <w:r w:rsidR="00590FBD">
        <w:t>Пункт 6 Паспорта</w:t>
      </w:r>
      <w:r w:rsidR="00FA6D2B">
        <w:t xml:space="preserve"> ресурсное обеспечение</w:t>
      </w:r>
      <w:r w:rsidR="00590FBD">
        <w:t xml:space="preserve"> программы </w:t>
      </w:r>
      <w:r w:rsidR="00FA6D2B">
        <w:t>изложен в новой редакции, представлен в таблице 1</w:t>
      </w:r>
      <w:r w:rsidR="00590FBD">
        <w:t>.</w:t>
      </w:r>
    </w:p>
    <w:p w:rsidR="00FA6D2B" w:rsidRDefault="00FA6D2B" w:rsidP="00FA6D2B">
      <w:pPr>
        <w:pStyle w:val="ConsPlusNormal"/>
        <w:ind w:firstLine="709"/>
        <w:jc w:val="right"/>
      </w:pPr>
      <w:r>
        <w:t>Таблица 1.</w:t>
      </w:r>
    </w:p>
    <w:tbl>
      <w:tblPr>
        <w:tblStyle w:val="a4"/>
        <w:tblW w:w="10206" w:type="dxa"/>
        <w:tblInd w:w="-572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8C4607" w:rsidTr="00C92383">
        <w:tc>
          <w:tcPr>
            <w:tcW w:w="4962" w:type="dxa"/>
          </w:tcPr>
          <w:p w:rsidR="008C4607" w:rsidRPr="00F03897" w:rsidRDefault="008C4607" w:rsidP="008C4607">
            <w:pPr>
              <w:pStyle w:val="ConsPlusNormal"/>
              <w:jc w:val="center"/>
              <w:rPr>
                <w:sz w:val="22"/>
                <w:szCs w:val="22"/>
              </w:rPr>
            </w:pPr>
            <w:r w:rsidRPr="00F03897">
              <w:rPr>
                <w:sz w:val="22"/>
                <w:szCs w:val="22"/>
              </w:rPr>
              <w:t>Первоначальный вариант</w:t>
            </w:r>
          </w:p>
        </w:tc>
        <w:tc>
          <w:tcPr>
            <w:tcW w:w="5244" w:type="dxa"/>
          </w:tcPr>
          <w:p w:rsidR="008C4607" w:rsidRPr="00F03897" w:rsidRDefault="008C4607" w:rsidP="008C4607">
            <w:pPr>
              <w:pStyle w:val="ConsPlusNormal"/>
              <w:jc w:val="center"/>
              <w:rPr>
                <w:sz w:val="22"/>
                <w:szCs w:val="22"/>
              </w:rPr>
            </w:pPr>
            <w:r w:rsidRPr="00F03897">
              <w:rPr>
                <w:sz w:val="22"/>
                <w:szCs w:val="22"/>
              </w:rPr>
              <w:t>Исправленный вариант</w:t>
            </w:r>
          </w:p>
        </w:tc>
      </w:tr>
      <w:tr w:rsidR="008C4607" w:rsidTr="00C92383">
        <w:tc>
          <w:tcPr>
            <w:tcW w:w="4962" w:type="dxa"/>
          </w:tcPr>
          <w:p w:rsidR="008C4607" w:rsidRPr="008C4607" w:rsidRDefault="008C4607" w:rsidP="008C4607">
            <w:pPr>
              <w:pStyle w:val="ConsPlusNormal"/>
              <w:rPr>
                <w:sz w:val="22"/>
                <w:szCs w:val="22"/>
              </w:rPr>
            </w:pPr>
            <w:r w:rsidRPr="008C4607">
              <w:rPr>
                <w:sz w:val="22"/>
                <w:szCs w:val="22"/>
              </w:rPr>
              <w:t>Общий объем финансирования бюджетных средств в текущих ценах - 8 887 320,00 руб., из них:</w:t>
            </w:r>
          </w:p>
          <w:p w:rsidR="008C4607" w:rsidRDefault="008C4607" w:rsidP="008C4607">
            <w:pPr>
              <w:pStyle w:val="ConsPlusNormal"/>
              <w:rPr>
                <w:sz w:val="22"/>
                <w:szCs w:val="22"/>
              </w:rPr>
            </w:pPr>
            <w:r w:rsidRPr="008C4607">
              <w:rPr>
                <w:sz w:val="22"/>
                <w:szCs w:val="22"/>
              </w:rPr>
              <w:t>за счет средств бюджета ТМО - 8 887 320,00 руб.</w:t>
            </w:r>
          </w:p>
          <w:tbl>
            <w:tblPr>
              <w:tblW w:w="3925" w:type="dxa"/>
              <w:tblLook w:val="04A0" w:firstRow="1" w:lastRow="0" w:firstColumn="1" w:lastColumn="0" w:noHBand="0" w:noVBand="1"/>
            </w:tblPr>
            <w:tblGrid>
              <w:gridCol w:w="3925"/>
            </w:tblGrid>
            <w:tr w:rsidR="00B151C4" w:rsidRPr="00B151C4" w:rsidTr="00C92383">
              <w:trPr>
                <w:trHeight w:val="320"/>
              </w:trPr>
              <w:tc>
                <w:tcPr>
                  <w:tcW w:w="3925" w:type="dxa"/>
                  <w:shd w:val="clear" w:color="auto" w:fill="auto"/>
                  <w:noWrap/>
                  <w:vAlign w:val="bottom"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2024 год - 2 979 315,93 руб.</w:t>
                  </w:r>
                </w:p>
              </w:tc>
            </w:tr>
            <w:tr w:rsidR="00B151C4" w:rsidRPr="00B151C4" w:rsidTr="00C92383">
              <w:trPr>
                <w:trHeight w:val="240"/>
              </w:trPr>
              <w:tc>
                <w:tcPr>
                  <w:tcW w:w="3925" w:type="dxa"/>
                  <w:shd w:val="clear" w:color="auto" w:fill="auto"/>
                  <w:noWrap/>
                  <w:vAlign w:val="bottom"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2025 год - 3 157 960,69 руб.</w:t>
                  </w:r>
                </w:p>
              </w:tc>
            </w:tr>
            <w:tr w:rsidR="00B151C4" w:rsidRPr="00B151C4" w:rsidTr="00C92383">
              <w:trPr>
                <w:trHeight w:val="266"/>
              </w:trPr>
              <w:tc>
                <w:tcPr>
                  <w:tcW w:w="3925" w:type="dxa"/>
                  <w:shd w:val="clear" w:color="auto" w:fill="auto"/>
                  <w:noWrap/>
                  <w:vAlign w:val="bottom"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2026 год - 2 750 043,38 руб.</w:t>
                  </w:r>
                </w:p>
              </w:tc>
            </w:tr>
            <w:tr w:rsidR="00B151C4" w:rsidRPr="00B151C4" w:rsidTr="00C92383">
              <w:trPr>
                <w:trHeight w:val="266"/>
              </w:trPr>
              <w:tc>
                <w:tcPr>
                  <w:tcW w:w="3925" w:type="dxa"/>
                  <w:shd w:val="clear" w:color="auto" w:fill="auto"/>
                  <w:noWrap/>
                  <w:vAlign w:val="bottom"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2027 год - 0,00 руб.</w:t>
                  </w:r>
                </w:p>
              </w:tc>
            </w:tr>
            <w:tr w:rsidR="00B151C4" w:rsidRPr="00B151C4" w:rsidTr="00C92383">
              <w:trPr>
                <w:trHeight w:val="266"/>
              </w:trPr>
              <w:tc>
                <w:tcPr>
                  <w:tcW w:w="3925" w:type="dxa"/>
                  <w:shd w:val="clear" w:color="auto" w:fill="auto"/>
                  <w:noWrap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2028 год - 0,00 руб.</w:t>
                  </w:r>
                </w:p>
              </w:tc>
            </w:tr>
            <w:tr w:rsidR="00B151C4" w:rsidRPr="00B151C4" w:rsidTr="00C92383">
              <w:trPr>
                <w:trHeight w:val="266"/>
              </w:trPr>
              <w:tc>
                <w:tcPr>
                  <w:tcW w:w="3925" w:type="dxa"/>
                  <w:shd w:val="clear" w:color="auto" w:fill="auto"/>
                  <w:noWrap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2029 год - 0,00 руб.</w:t>
                  </w:r>
                </w:p>
              </w:tc>
            </w:tr>
            <w:tr w:rsidR="00B151C4" w:rsidRPr="00B151C4" w:rsidTr="00C92383">
              <w:trPr>
                <w:trHeight w:val="266"/>
              </w:trPr>
              <w:tc>
                <w:tcPr>
                  <w:tcW w:w="3925" w:type="dxa"/>
                  <w:shd w:val="clear" w:color="auto" w:fill="auto"/>
                  <w:noWrap/>
                  <w:vAlign w:val="bottom"/>
                  <w:hideMark/>
                </w:tcPr>
                <w:p w:rsidR="00B151C4" w:rsidRPr="00B151C4" w:rsidRDefault="00B151C4" w:rsidP="00B151C4">
                  <w:pPr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B151C4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2030 год 0,00 руб.</w:t>
                  </w:r>
                </w:p>
              </w:tc>
            </w:tr>
          </w:tbl>
          <w:p w:rsidR="008C4607" w:rsidRPr="008C4607" w:rsidRDefault="008C4607" w:rsidP="008C460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B151C4" w:rsidRDefault="008C4607" w:rsidP="008C4607">
            <w:pPr>
              <w:pStyle w:val="ConsPlusNormal"/>
              <w:rPr>
                <w:sz w:val="22"/>
                <w:szCs w:val="22"/>
              </w:rPr>
            </w:pPr>
            <w:r w:rsidRPr="008C4607">
              <w:rPr>
                <w:sz w:val="22"/>
                <w:szCs w:val="22"/>
              </w:rPr>
              <w:t>Финансирование Программы осуществляется с 2024 года:</w:t>
            </w:r>
          </w:p>
          <w:p w:rsidR="00B151C4" w:rsidRDefault="00B151C4" w:rsidP="008C460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C4607" w:rsidRPr="008C4607">
              <w:rPr>
                <w:sz w:val="22"/>
                <w:szCs w:val="22"/>
              </w:rPr>
              <w:t>за счет средств бюджета Тернейского муниципального округа, определенных Решением Думы Тернейского муниципального округа "Об утверждении бюджета Тернейского муниципального округа" на соответствующий финансовый год;</w:t>
            </w:r>
          </w:p>
          <w:p w:rsidR="008C4607" w:rsidRDefault="00B151C4" w:rsidP="008C460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C4607" w:rsidRPr="008C4607">
              <w:rPr>
                <w:sz w:val="22"/>
                <w:szCs w:val="22"/>
              </w:rPr>
              <w:t xml:space="preserve">за счет внебюджетных источников: по фактическому поступлению средств, добровольных </w:t>
            </w:r>
            <w:r w:rsidR="00F03897">
              <w:rPr>
                <w:sz w:val="22"/>
                <w:szCs w:val="22"/>
              </w:rPr>
              <w:t>благотворительных пожертвований.</w:t>
            </w:r>
          </w:p>
          <w:p w:rsidR="00C92383" w:rsidRPr="008C4607" w:rsidRDefault="00C92383" w:rsidP="008C460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ходе реализации программы при необходимости допускается корректировка плановых значений финансирования в установленном порядке.</w:t>
            </w:r>
          </w:p>
        </w:tc>
      </w:tr>
    </w:tbl>
    <w:p w:rsidR="00407844" w:rsidRDefault="003965F6" w:rsidP="00C92383">
      <w:pPr>
        <w:pStyle w:val="ConsPlusNormal"/>
        <w:spacing w:before="120"/>
        <w:ind w:firstLine="709"/>
        <w:jc w:val="both"/>
      </w:pPr>
      <w:r w:rsidRPr="003965F6">
        <w:t xml:space="preserve">Общий объем финансирования, на реализацию Программы согласно паспорту, составит </w:t>
      </w:r>
      <w:r w:rsidR="008A48E7">
        <w:rPr>
          <w:b/>
        </w:rPr>
        <w:t>12 069 676,26</w:t>
      </w:r>
      <w:r w:rsidRPr="003965F6">
        <w:t xml:space="preserve"> руб.</w:t>
      </w:r>
      <w:r w:rsidR="009B10E0">
        <w:t xml:space="preserve"> </w:t>
      </w:r>
      <w:r w:rsidR="008A48E7">
        <w:t xml:space="preserve">из них </w:t>
      </w:r>
      <w:r w:rsidR="008A48E7" w:rsidRPr="008A48E7">
        <w:rPr>
          <w:b/>
        </w:rPr>
        <w:t>11 878 335,26</w:t>
      </w:r>
      <w:r w:rsidR="008A48E7">
        <w:t xml:space="preserve"> руб. </w:t>
      </w:r>
      <w:r w:rsidR="00A1482D">
        <w:t xml:space="preserve">за счет </w:t>
      </w:r>
      <w:r w:rsidR="009B10E0">
        <w:t>средств бюджета округа</w:t>
      </w:r>
      <w:r w:rsidR="008A48E7">
        <w:t xml:space="preserve">, </w:t>
      </w:r>
      <w:r w:rsidR="008A48E7" w:rsidRPr="0017134C">
        <w:rPr>
          <w:b/>
        </w:rPr>
        <w:t>191 341,00</w:t>
      </w:r>
      <w:r w:rsidR="008A48E7">
        <w:t xml:space="preserve"> руб. за счет средств краевого бюджета. </w:t>
      </w:r>
      <w:r w:rsidR="00A1482D">
        <w:t>Планируемый объем финансирования в разрезе мероприятий, по годам представлен</w:t>
      </w:r>
      <w:r w:rsidR="004B66CA">
        <w:t xml:space="preserve"> в таблице </w:t>
      </w:r>
      <w:r w:rsidR="00471AA9">
        <w:t>2</w:t>
      </w:r>
      <w:r w:rsidR="004B66CA">
        <w:t xml:space="preserve"> (Приложение к </w:t>
      </w:r>
      <w:r w:rsidR="00E17F1E">
        <w:t>заключению</w:t>
      </w:r>
      <w:r w:rsidR="004B66CA">
        <w:t>).</w:t>
      </w:r>
    </w:p>
    <w:p w:rsidR="00421BF5" w:rsidRPr="00421BF5" w:rsidRDefault="00421BF5" w:rsidP="00421BF5">
      <w:pPr>
        <w:pStyle w:val="ConsPlusNormal"/>
        <w:ind w:firstLine="709"/>
        <w:jc w:val="both"/>
        <w:rPr>
          <w:b/>
        </w:rPr>
      </w:pPr>
      <w:r w:rsidRPr="00421BF5">
        <w:rPr>
          <w:b/>
        </w:rPr>
        <w:t>Выводы.</w:t>
      </w:r>
    </w:p>
    <w:p w:rsidR="001F52D0" w:rsidRDefault="00421BF5" w:rsidP="001F52D0">
      <w:pPr>
        <w:pStyle w:val="ConsPlusNormal"/>
        <w:ind w:firstLine="709"/>
        <w:jc w:val="both"/>
      </w:pPr>
      <w:r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</w:p>
    <w:p w:rsidR="00707C9F" w:rsidRPr="001F52D0" w:rsidRDefault="00421BF5" w:rsidP="001F52D0">
      <w:pPr>
        <w:pStyle w:val="ConsPlusNormal"/>
        <w:ind w:firstLine="709"/>
        <w:jc w:val="both"/>
      </w:pPr>
      <w:r>
        <w:t>Для реализации мероприятий Программы планируемый</w:t>
      </w:r>
      <w:r w:rsidR="00B37AE4">
        <w:t xml:space="preserve"> объем финансирования в 2024 г.</w:t>
      </w:r>
      <w:r>
        <w:t xml:space="preserve"> составит </w:t>
      </w:r>
      <w:r w:rsidR="0017134C">
        <w:rPr>
          <w:b/>
          <w:bCs/>
          <w:color w:val="000000"/>
        </w:rPr>
        <w:t>3 173 139,93</w:t>
      </w:r>
      <w:r w:rsidR="00504B5B">
        <w:rPr>
          <w:b/>
          <w:bCs/>
          <w:color w:val="000000"/>
        </w:rPr>
        <w:t xml:space="preserve"> </w:t>
      </w:r>
      <w:r w:rsidR="00B37AE4">
        <w:t>руб</w:t>
      </w:r>
      <w:r w:rsidR="00AC2385">
        <w:t>.</w:t>
      </w:r>
      <w:r>
        <w:t xml:space="preserve"> </w:t>
      </w:r>
      <w:r w:rsidR="006C1421">
        <w:t xml:space="preserve">из них </w:t>
      </w:r>
      <w:r w:rsidR="006C1421" w:rsidRPr="00A15D70">
        <w:rPr>
          <w:b/>
        </w:rPr>
        <w:t>3 079 345,93</w:t>
      </w:r>
      <w:r w:rsidR="006C1421">
        <w:t xml:space="preserve"> руб. </w:t>
      </w:r>
      <w:r w:rsidR="00B37AE4">
        <w:t>средств бюджета округа</w:t>
      </w:r>
      <w:r w:rsidR="006C1421">
        <w:t xml:space="preserve">, </w:t>
      </w:r>
      <w:r w:rsidR="006C1421" w:rsidRPr="00A15D70">
        <w:rPr>
          <w:b/>
        </w:rPr>
        <w:t>93 794,00</w:t>
      </w:r>
      <w:r w:rsidR="006C1421">
        <w:t xml:space="preserve"> руб. средств краевого бюджета.</w:t>
      </w:r>
      <w:r>
        <w:t xml:space="preserve"> При разработке проекта бюджета Тернейского муниципального округа на 2024 и плановый период 2025-2026 год необходимо предусмотреть бюджетные ассигнования </w:t>
      </w:r>
      <w:r w:rsidR="00DA2134">
        <w:t>на реализацию данной Программы.</w:t>
      </w:r>
    </w:p>
    <w:p w:rsidR="006818EC" w:rsidRDefault="006818EC" w:rsidP="00421BF5">
      <w:pPr>
        <w:pStyle w:val="ConsPlusNormal"/>
        <w:ind w:firstLine="709"/>
        <w:jc w:val="both"/>
      </w:pPr>
    </w:p>
    <w:p w:rsidR="004D21B4" w:rsidRDefault="004D21B4" w:rsidP="004D21B4">
      <w:pPr>
        <w:pStyle w:val="ConsPlusNormal"/>
        <w:jc w:val="both"/>
      </w:pPr>
      <w:r>
        <w:t xml:space="preserve">Председатель Контрольно-счетной комиссии </w:t>
      </w:r>
    </w:p>
    <w:p w:rsidR="00332CDC" w:rsidRDefault="004D21B4" w:rsidP="004D21B4">
      <w:pPr>
        <w:pStyle w:val="ConsPlusNormal"/>
        <w:jc w:val="both"/>
      </w:pPr>
      <w:r>
        <w:t>Тернейского муниципального округа                                                                О.С. Тарасова</w:t>
      </w:r>
    </w:p>
    <w:p w:rsidR="004D21B4" w:rsidRDefault="004D21B4" w:rsidP="00332CDC">
      <w:pPr>
        <w:pStyle w:val="ConsPlusNormal"/>
        <w:jc w:val="both"/>
      </w:pPr>
    </w:p>
    <w:p w:rsidR="00332CDC" w:rsidRDefault="00332CDC" w:rsidP="00332CDC">
      <w:pPr>
        <w:pStyle w:val="ConsPlusNormal"/>
        <w:jc w:val="both"/>
      </w:pPr>
      <w:r>
        <w:t xml:space="preserve">Ведущий инспектор Контрольно-счетной комиссии </w:t>
      </w:r>
    </w:p>
    <w:p w:rsidR="00E85084" w:rsidRDefault="00332CDC" w:rsidP="00332CDC">
      <w:pPr>
        <w:pStyle w:val="ConsPlusNormal"/>
        <w:jc w:val="both"/>
        <w:sectPr w:rsidR="00E850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Тернейского муниципального округа</w:t>
      </w:r>
      <w:r>
        <w:tab/>
        <w:t xml:space="preserve">                                                 В.А. Евстифеева</w:t>
      </w:r>
    </w:p>
    <w:p w:rsidR="00817E75" w:rsidRDefault="00817E75" w:rsidP="00817E75">
      <w:pPr>
        <w:jc w:val="right"/>
      </w:pPr>
      <w:r w:rsidRPr="00240E65">
        <w:lastRenderedPageBreak/>
        <w:t xml:space="preserve">Приложение к Заключению </w:t>
      </w:r>
      <w:r w:rsidRPr="00471AA9">
        <w:t xml:space="preserve">от </w:t>
      </w:r>
      <w:r w:rsidR="00471AA9" w:rsidRPr="00471AA9">
        <w:t xml:space="preserve">15 </w:t>
      </w:r>
      <w:r w:rsidR="00035EBC" w:rsidRPr="00471AA9">
        <w:t>сентября</w:t>
      </w:r>
      <w:r w:rsidRPr="00471AA9">
        <w:t xml:space="preserve"> 2023 № 4</w:t>
      </w:r>
      <w:r w:rsidR="00035EBC" w:rsidRPr="00471AA9">
        <w:t>5</w:t>
      </w:r>
      <w:r w:rsidRPr="00471AA9">
        <w:t>-Э</w:t>
      </w:r>
    </w:p>
    <w:p w:rsidR="00817E75" w:rsidRDefault="00817E75" w:rsidP="00817E75">
      <w:pPr>
        <w:jc w:val="right"/>
      </w:pPr>
      <w:r>
        <w:t>Т</w:t>
      </w:r>
      <w:r w:rsidRPr="00C64C36">
        <w:t>аблиц</w:t>
      </w:r>
      <w:r>
        <w:t>а</w:t>
      </w:r>
      <w:r w:rsidRPr="00C64C36">
        <w:t xml:space="preserve"> </w:t>
      </w:r>
      <w:r w:rsidR="00471AA9">
        <w:t>2</w:t>
      </w:r>
      <w:r>
        <w:t xml:space="preserve">. </w:t>
      </w:r>
      <w:r w:rsidRPr="00407A76">
        <w:t>Планируемый объем финан</w:t>
      </w:r>
      <w:r>
        <w:t>сирования в разрезе мероприятий</w:t>
      </w:r>
      <w:r w:rsidRPr="00407A76">
        <w:t xml:space="preserve"> п</w:t>
      </w:r>
      <w:r>
        <w:t>о годам (руб.)</w:t>
      </w:r>
    </w:p>
    <w:tbl>
      <w:tblPr>
        <w:tblW w:w="15446" w:type="dxa"/>
        <w:tblInd w:w="-431" w:type="dxa"/>
        <w:tblLook w:val="04A0" w:firstRow="1" w:lastRow="0" w:firstColumn="1" w:lastColumn="0" w:noHBand="0" w:noVBand="1"/>
      </w:tblPr>
      <w:tblGrid>
        <w:gridCol w:w="486"/>
        <w:gridCol w:w="3746"/>
        <w:gridCol w:w="1581"/>
        <w:gridCol w:w="1449"/>
        <w:gridCol w:w="1387"/>
        <w:gridCol w:w="1417"/>
        <w:gridCol w:w="1134"/>
        <w:gridCol w:w="1276"/>
        <w:gridCol w:w="1440"/>
        <w:gridCol w:w="1530"/>
      </w:tblGrid>
      <w:tr w:rsidR="005C1517" w:rsidRPr="008D1A11" w:rsidTr="003435D6">
        <w:trPr>
          <w:trHeight w:val="36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6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Объем финансирования</w:t>
            </w:r>
          </w:p>
        </w:tc>
      </w:tr>
      <w:tr w:rsidR="00A56D5D" w:rsidRPr="008D1A11" w:rsidTr="003435D6">
        <w:trPr>
          <w:trHeight w:val="7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2030</w:t>
            </w:r>
          </w:p>
        </w:tc>
      </w:tr>
      <w:tr w:rsidR="00A56D5D" w:rsidRPr="008D1A11" w:rsidTr="003435D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D1A11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5C1517" w:rsidRPr="008D1A11" w:rsidTr="003435D6">
        <w:trPr>
          <w:trHeight w:val="3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1A11" w:rsidRPr="008D1A11" w:rsidRDefault="008D1A11" w:rsidP="008D1A1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D1A11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Основное мероприятие: </w:t>
            </w: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мероприятия по содерж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анию мест захоронений (кладбищ)</w:t>
            </w: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, МБ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579 345,93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606 292,13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520 980,33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542 022,40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562 218,46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589 754,12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611 961,89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Акарицидная</w:t>
            </w:r>
            <w:proofErr w:type="spellEnd"/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обработка мест захоронения (кладбищ)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Амгунский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13 844,75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14 509,30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15 205,74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15 935,62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16 700,53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17 502,16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18 342,26</w:t>
            </w:r>
          </w:p>
        </w:tc>
      </w:tr>
      <w:tr w:rsidR="005C1517" w:rsidRPr="008D1A11" w:rsidTr="003435D6">
        <w:trPr>
          <w:trHeight w:val="46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Пластунский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38 775,00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40 636,20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42 586,74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44 630,90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46 773,18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49 018,30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51 371,18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Самаргинский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13 844,75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14 509,30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15 205,74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15 935,62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16 700,53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17 502,16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18 342,26</w:t>
            </w:r>
          </w:p>
        </w:tc>
      </w:tr>
      <w:tr w:rsidR="005C1517" w:rsidRPr="008D1A11" w:rsidTr="003435D6">
        <w:trPr>
          <w:trHeight w:val="22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Светлинский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 xml:space="preserve">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13 844,75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14 509,30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15 205,74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15 935,62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16 700,53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17 502,16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18 342,26</w:t>
            </w:r>
          </w:p>
        </w:tc>
      </w:tr>
      <w:tr w:rsidR="005C1517" w:rsidRPr="008D1A11" w:rsidTr="003435D6">
        <w:trPr>
          <w:trHeight w:val="31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Тернейский тер. 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26 844,75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28 133,30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29 483,70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30 898,91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32 382,06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33 936,40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35 565,35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Вывоз мусора с контейнерных площадок на территории мест захоронений (кладбищ)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Амгунский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61 155,25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64 090,70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67 167,06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70 391,07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73 769,85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77 310,80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81 021,72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Пластунский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61 255,00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64 195,24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67 276,61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70 505,89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73 890,17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77 436,90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81 153,87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Самаргинский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36 155,25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37 890,70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39 709,46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41 615,51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43 613,05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45 706,48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47 900,39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Светлинский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 xml:space="preserve"> тер.отдел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36 155,25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37 890,70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39 709,46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41 615,51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43 613,05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45 706,48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47 900,39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Тернейский тер. отдел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73 155,25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76 666,70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80 346,70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84 203,35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88 245,11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92 480,87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96 919,95</w:t>
            </w:r>
          </w:p>
        </w:tc>
      </w:tr>
      <w:tr w:rsidR="005C1517" w:rsidRPr="008D1A11" w:rsidTr="003435D6">
        <w:trPr>
          <w:trHeight w:val="2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Обустройство контейнерных площадок на местах захоронений (кладбищ) на территории 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Администрация ТМО (</w:t>
            </w: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ОЖиРИ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99 115,93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103 873,49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5C1517" w:rsidRPr="008D1A11" w:rsidTr="003435D6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Устройство, ремонт и замена ограждений мест захоронений (кладбищ) на территории 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Администрация ТМО (</w:t>
            </w: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ОЖиРИ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105 300,00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110 354,40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109 830,40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115 651,41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115 102,26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Приобретение и установка информационных табличек на местах захоронений (кладбищ) на территории 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Администрация ТМО (</w:t>
            </w: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ОЖиРИ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5 200,00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4 087,20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4 283,38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1A11" w:rsidRPr="008D1A11" w:rsidRDefault="008D1A11" w:rsidP="008D1A11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D1A11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Основное мероприятие: </w:t>
            </w: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мероприятия по организации ритуальных услуг, в том числе: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2 593 794,00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2 717 547,00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2 745 760,00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1A11" w:rsidRPr="008D1A11" w:rsidRDefault="008D1A11" w:rsidP="008D1A11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  <w:t>МБ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2 745 760,00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A11" w:rsidRPr="008D1A11" w:rsidRDefault="008D1A11" w:rsidP="008D1A11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</w:rPr>
              <w:t>КБ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A11" w:rsidRPr="008D1A11" w:rsidRDefault="008D1A11" w:rsidP="008D1A11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93 794,00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97 547,00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1517" w:rsidRPr="008D1A11" w:rsidTr="003435D6">
        <w:trPr>
          <w:trHeight w:val="3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Расходы на осуществление отдельных государственных полномочий по возмещению </w:t>
            </w:r>
            <w:r w:rsidR="00A56D5D"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специализированным</w:t>
            </w: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службам по вопросам похоронного дела стоимости услуг по погребению ,КБ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Администрация ТМО (</w:t>
            </w: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ОЖиРИ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93 794,00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97 547,00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5C1517" w:rsidRPr="008D1A11" w:rsidTr="003435D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A11" w:rsidRPr="008D1A11" w:rsidRDefault="008D1A11" w:rsidP="008D1A1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инвентаризации мест захоронений, расположенных на территории ТМО (МБ)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Администрация ТМО (</w:t>
            </w:r>
            <w:proofErr w:type="spellStart"/>
            <w:r w:rsidRPr="008D1A11">
              <w:rPr>
                <w:rFonts w:eastAsia="Times New Roman"/>
                <w:color w:val="000000"/>
                <w:sz w:val="20"/>
                <w:szCs w:val="20"/>
              </w:rPr>
              <w:t>ОЖиРИ</w:t>
            </w:r>
            <w:proofErr w:type="spellEnd"/>
            <w:r w:rsidRPr="008D1A11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2 745 760,00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416DA7" w:rsidRPr="008D1A11" w:rsidTr="003435D6">
        <w:trPr>
          <w:trHeight w:val="300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3 173 139,93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3 323 839,13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3 266 740,33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542 022,40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562 218,46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589 754,12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611 961,89</w:t>
            </w:r>
          </w:p>
        </w:tc>
      </w:tr>
      <w:tr w:rsidR="00416DA7" w:rsidRPr="008D1A11" w:rsidTr="003435D6">
        <w:trPr>
          <w:trHeight w:val="315"/>
        </w:trPr>
        <w:tc>
          <w:tcPr>
            <w:tcW w:w="13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 по Программе: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12 069 676,26</w:t>
            </w:r>
          </w:p>
        </w:tc>
      </w:tr>
      <w:tr w:rsidR="00416DA7" w:rsidRPr="008D1A11" w:rsidTr="003435D6">
        <w:trPr>
          <w:trHeight w:val="300"/>
        </w:trPr>
        <w:tc>
          <w:tcPr>
            <w:tcW w:w="13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 том числе: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11 878 335,26</w:t>
            </w:r>
          </w:p>
        </w:tc>
      </w:tr>
      <w:tr w:rsidR="00416DA7" w:rsidRPr="008D1A11" w:rsidTr="003435D6">
        <w:trPr>
          <w:trHeight w:val="300"/>
        </w:trPr>
        <w:tc>
          <w:tcPr>
            <w:tcW w:w="13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КБ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A11" w:rsidRPr="008D1A11" w:rsidRDefault="008D1A11" w:rsidP="008D1A1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D1A1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191 341,00</w:t>
            </w:r>
          </w:p>
        </w:tc>
      </w:tr>
    </w:tbl>
    <w:p w:rsidR="008D1A11" w:rsidRDefault="008D1A11" w:rsidP="008D1A11">
      <w:pPr>
        <w:jc w:val="both"/>
      </w:pPr>
    </w:p>
    <w:p w:rsidR="00E17F1E" w:rsidRPr="005F3E6F" w:rsidRDefault="00E17F1E" w:rsidP="00817E75">
      <w:pPr>
        <w:ind w:firstLine="708"/>
        <w:rPr>
          <w:sz w:val="20"/>
          <w:szCs w:val="20"/>
        </w:rPr>
      </w:pPr>
    </w:p>
    <w:sectPr w:rsidR="00E17F1E" w:rsidRPr="005F3E6F" w:rsidSect="00FB7EB3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55EB"/>
    <w:rsid w:val="000239B0"/>
    <w:rsid w:val="000249F5"/>
    <w:rsid w:val="00035EBC"/>
    <w:rsid w:val="0004213B"/>
    <w:rsid w:val="00062813"/>
    <w:rsid w:val="0008397D"/>
    <w:rsid w:val="00085628"/>
    <w:rsid w:val="000A5A9C"/>
    <w:rsid w:val="000A76E7"/>
    <w:rsid w:val="000D66A8"/>
    <w:rsid w:val="00105276"/>
    <w:rsid w:val="00125265"/>
    <w:rsid w:val="0013119D"/>
    <w:rsid w:val="0015747C"/>
    <w:rsid w:val="0017134C"/>
    <w:rsid w:val="00172E1F"/>
    <w:rsid w:val="00175BF2"/>
    <w:rsid w:val="001B6D5B"/>
    <w:rsid w:val="001C6CA5"/>
    <w:rsid w:val="001F52D0"/>
    <w:rsid w:val="001F77DC"/>
    <w:rsid w:val="00226DFD"/>
    <w:rsid w:val="00231485"/>
    <w:rsid w:val="00251C86"/>
    <w:rsid w:val="002D493B"/>
    <w:rsid w:val="002F0254"/>
    <w:rsid w:val="00324BB8"/>
    <w:rsid w:val="00330A18"/>
    <w:rsid w:val="00332CDC"/>
    <w:rsid w:val="003435D6"/>
    <w:rsid w:val="00350A61"/>
    <w:rsid w:val="00350C21"/>
    <w:rsid w:val="00357084"/>
    <w:rsid w:val="003715C2"/>
    <w:rsid w:val="003965F6"/>
    <w:rsid w:val="003A35F4"/>
    <w:rsid w:val="003B3788"/>
    <w:rsid w:val="003B3859"/>
    <w:rsid w:val="003B46DD"/>
    <w:rsid w:val="003D31EA"/>
    <w:rsid w:val="003D74E2"/>
    <w:rsid w:val="00407844"/>
    <w:rsid w:val="00407A76"/>
    <w:rsid w:val="00410D80"/>
    <w:rsid w:val="00416DA7"/>
    <w:rsid w:val="00421BF5"/>
    <w:rsid w:val="00470D5E"/>
    <w:rsid w:val="00471AA9"/>
    <w:rsid w:val="004B66CA"/>
    <w:rsid w:val="004D0536"/>
    <w:rsid w:val="004D21B4"/>
    <w:rsid w:val="004F6931"/>
    <w:rsid w:val="004F7ED3"/>
    <w:rsid w:val="00502ADF"/>
    <w:rsid w:val="00504698"/>
    <w:rsid w:val="00504B5B"/>
    <w:rsid w:val="005063C5"/>
    <w:rsid w:val="005500E7"/>
    <w:rsid w:val="005549A9"/>
    <w:rsid w:val="005601AA"/>
    <w:rsid w:val="005610DB"/>
    <w:rsid w:val="00576254"/>
    <w:rsid w:val="0058038A"/>
    <w:rsid w:val="00585215"/>
    <w:rsid w:val="00590FBD"/>
    <w:rsid w:val="00594B13"/>
    <w:rsid w:val="005B51FA"/>
    <w:rsid w:val="005C1517"/>
    <w:rsid w:val="005F3E6F"/>
    <w:rsid w:val="005F7EC2"/>
    <w:rsid w:val="00611986"/>
    <w:rsid w:val="00611FA8"/>
    <w:rsid w:val="00616F4D"/>
    <w:rsid w:val="00626B5E"/>
    <w:rsid w:val="00630CCE"/>
    <w:rsid w:val="0064132B"/>
    <w:rsid w:val="006818EC"/>
    <w:rsid w:val="006856CA"/>
    <w:rsid w:val="006C1421"/>
    <w:rsid w:val="006E1B28"/>
    <w:rsid w:val="006E4D88"/>
    <w:rsid w:val="006F175A"/>
    <w:rsid w:val="00707C9F"/>
    <w:rsid w:val="00715133"/>
    <w:rsid w:val="00727AF2"/>
    <w:rsid w:val="00762054"/>
    <w:rsid w:val="00771ED6"/>
    <w:rsid w:val="007A71B6"/>
    <w:rsid w:val="007C7150"/>
    <w:rsid w:val="007D3189"/>
    <w:rsid w:val="007E5CC2"/>
    <w:rsid w:val="007E75D7"/>
    <w:rsid w:val="007F4144"/>
    <w:rsid w:val="0081684A"/>
    <w:rsid w:val="00817E75"/>
    <w:rsid w:val="008260BD"/>
    <w:rsid w:val="00842192"/>
    <w:rsid w:val="00885BDE"/>
    <w:rsid w:val="008A2F50"/>
    <w:rsid w:val="008A48E7"/>
    <w:rsid w:val="008C0331"/>
    <w:rsid w:val="008C2D4D"/>
    <w:rsid w:val="008C38B9"/>
    <w:rsid w:val="008C4607"/>
    <w:rsid w:val="008D1A11"/>
    <w:rsid w:val="008D7D3D"/>
    <w:rsid w:val="00912C0E"/>
    <w:rsid w:val="009171A1"/>
    <w:rsid w:val="0092223E"/>
    <w:rsid w:val="00923FB1"/>
    <w:rsid w:val="00946CD8"/>
    <w:rsid w:val="00947AF4"/>
    <w:rsid w:val="00971655"/>
    <w:rsid w:val="009800F4"/>
    <w:rsid w:val="00985F1B"/>
    <w:rsid w:val="00991515"/>
    <w:rsid w:val="00991CB3"/>
    <w:rsid w:val="00993E1B"/>
    <w:rsid w:val="00994F63"/>
    <w:rsid w:val="009A0816"/>
    <w:rsid w:val="009B10E0"/>
    <w:rsid w:val="009F3021"/>
    <w:rsid w:val="009F3E7A"/>
    <w:rsid w:val="00A116D5"/>
    <w:rsid w:val="00A1482D"/>
    <w:rsid w:val="00A15D70"/>
    <w:rsid w:val="00A4191D"/>
    <w:rsid w:val="00A56D5D"/>
    <w:rsid w:val="00A61F00"/>
    <w:rsid w:val="00A75290"/>
    <w:rsid w:val="00A956C3"/>
    <w:rsid w:val="00AA14E8"/>
    <w:rsid w:val="00AA1FCE"/>
    <w:rsid w:val="00AB2E84"/>
    <w:rsid w:val="00AB2E8D"/>
    <w:rsid w:val="00AC2385"/>
    <w:rsid w:val="00AD424D"/>
    <w:rsid w:val="00B008DF"/>
    <w:rsid w:val="00B12434"/>
    <w:rsid w:val="00B151C4"/>
    <w:rsid w:val="00B27A16"/>
    <w:rsid w:val="00B37AE4"/>
    <w:rsid w:val="00B70C79"/>
    <w:rsid w:val="00B76313"/>
    <w:rsid w:val="00B8262D"/>
    <w:rsid w:val="00B924E4"/>
    <w:rsid w:val="00BD5DBF"/>
    <w:rsid w:val="00BF2EC2"/>
    <w:rsid w:val="00C04127"/>
    <w:rsid w:val="00C15556"/>
    <w:rsid w:val="00C315E0"/>
    <w:rsid w:val="00C3185E"/>
    <w:rsid w:val="00C331AE"/>
    <w:rsid w:val="00C62594"/>
    <w:rsid w:val="00C72E81"/>
    <w:rsid w:val="00C8779C"/>
    <w:rsid w:val="00C90E8F"/>
    <w:rsid w:val="00C91078"/>
    <w:rsid w:val="00C92383"/>
    <w:rsid w:val="00C92514"/>
    <w:rsid w:val="00CB0229"/>
    <w:rsid w:val="00CC4CE7"/>
    <w:rsid w:val="00CC5780"/>
    <w:rsid w:val="00CD2C5F"/>
    <w:rsid w:val="00CD3A32"/>
    <w:rsid w:val="00CE6D5B"/>
    <w:rsid w:val="00D01A34"/>
    <w:rsid w:val="00D04EDE"/>
    <w:rsid w:val="00D050DC"/>
    <w:rsid w:val="00D06CB7"/>
    <w:rsid w:val="00D07E75"/>
    <w:rsid w:val="00D34D26"/>
    <w:rsid w:val="00D35B8B"/>
    <w:rsid w:val="00D412C7"/>
    <w:rsid w:val="00D4248C"/>
    <w:rsid w:val="00D67589"/>
    <w:rsid w:val="00D90EB1"/>
    <w:rsid w:val="00D938D5"/>
    <w:rsid w:val="00DA2134"/>
    <w:rsid w:val="00DE5433"/>
    <w:rsid w:val="00E03E3D"/>
    <w:rsid w:val="00E17F1E"/>
    <w:rsid w:val="00E314CE"/>
    <w:rsid w:val="00E36B62"/>
    <w:rsid w:val="00E55626"/>
    <w:rsid w:val="00E56B78"/>
    <w:rsid w:val="00E611F6"/>
    <w:rsid w:val="00E631C3"/>
    <w:rsid w:val="00E666C2"/>
    <w:rsid w:val="00E80579"/>
    <w:rsid w:val="00E85084"/>
    <w:rsid w:val="00EA0E13"/>
    <w:rsid w:val="00EA1B6F"/>
    <w:rsid w:val="00EC2414"/>
    <w:rsid w:val="00ED4BC3"/>
    <w:rsid w:val="00F03897"/>
    <w:rsid w:val="00F03F8A"/>
    <w:rsid w:val="00F24427"/>
    <w:rsid w:val="00F27895"/>
    <w:rsid w:val="00F316CC"/>
    <w:rsid w:val="00F31C77"/>
    <w:rsid w:val="00F573D9"/>
    <w:rsid w:val="00F866DC"/>
    <w:rsid w:val="00FA6D2B"/>
    <w:rsid w:val="00FB7EB3"/>
    <w:rsid w:val="00FC044E"/>
    <w:rsid w:val="00FC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19CAB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C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4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64</cp:revision>
  <cp:lastPrinted>2023-09-17T22:56:00Z</cp:lastPrinted>
  <dcterms:created xsi:type="dcterms:W3CDTF">2023-07-12T03:15:00Z</dcterms:created>
  <dcterms:modified xsi:type="dcterms:W3CDTF">2023-09-17T22:57:00Z</dcterms:modified>
</cp:coreProperties>
</file>