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1D" w:rsidRPr="00FC4A0A" w:rsidRDefault="00A4191D" w:rsidP="00A4191D">
      <w:pPr>
        <w:jc w:val="center"/>
        <w:rPr>
          <w:rFonts w:eastAsia="Times New Roman"/>
        </w:rPr>
      </w:pPr>
      <w:r w:rsidRPr="00FC4A0A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Cs/>
        </w:rPr>
      </w:pPr>
      <w:r w:rsidRPr="00FC4A0A">
        <w:rPr>
          <w:rFonts w:eastAsia="Times New Roman"/>
          <w:bCs/>
        </w:rPr>
        <w:t>Контрольно-счетная комиссия</w:t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/>
          <w:bCs/>
        </w:rPr>
      </w:pPr>
      <w:r w:rsidRPr="00FC4A0A">
        <w:rPr>
          <w:rFonts w:eastAsia="Times New Roman"/>
          <w:bCs/>
        </w:rPr>
        <w:t>Тернейского муниципального округа</w:t>
      </w:r>
    </w:p>
    <w:p w:rsidR="00A4191D" w:rsidRPr="00FC4A0A" w:rsidRDefault="00A4191D" w:rsidP="00A4191D">
      <w:pPr>
        <w:spacing w:before="120" w:after="120"/>
        <w:jc w:val="center"/>
        <w:rPr>
          <w:rFonts w:eastAsia="Times New Roman"/>
          <w:b/>
        </w:rPr>
      </w:pPr>
      <w:r w:rsidRPr="00FC4A0A">
        <w:rPr>
          <w:rFonts w:eastAsia="Times New Roman"/>
          <w:b/>
        </w:rPr>
        <w:t>ЗАКЛЮЧЕНИЕ</w:t>
      </w:r>
    </w:p>
    <w:tbl>
      <w:tblPr>
        <w:tblW w:w="9570" w:type="dxa"/>
        <w:tblLook w:val="01E0" w:firstRow="1" w:lastRow="1" w:firstColumn="1" w:lastColumn="1" w:noHBand="0" w:noVBand="0"/>
      </w:tblPr>
      <w:tblGrid>
        <w:gridCol w:w="3438"/>
        <w:gridCol w:w="3023"/>
        <w:gridCol w:w="3109"/>
      </w:tblGrid>
      <w:tr w:rsidR="00A4191D" w:rsidRPr="00B27A16" w:rsidTr="00721B28">
        <w:tc>
          <w:tcPr>
            <w:tcW w:w="3438" w:type="dxa"/>
            <w:shd w:val="clear" w:color="auto" w:fill="auto"/>
          </w:tcPr>
          <w:p w:rsidR="00A4191D" w:rsidRPr="00105276" w:rsidRDefault="00A4191D" w:rsidP="00C8779C">
            <w:pPr>
              <w:rPr>
                <w:rFonts w:eastAsia="Times New Roman"/>
                <w:highlight w:val="yellow"/>
              </w:rPr>
            </w:pPr>
            <w:r w:rsidRPr="00C8779C">
              <w:rPr>
                <w:rFonts w:eastAsia="Times New Roman"/>
              </w:rPr>
              <w:t>1</w:t>
            </w:r>
            <w:r w:rsidR="00C8779C" w:rsidRPr="00C8779C">
              <w:rPr>
                <w:rFonts w:eastAsia="Times New Roman"/>
              </w:rPr>
              <w:t>3</w:t>
            </w:r>
            <w:r w:rsidRPr="00C8779C">
              <w:rPr>
                <w:rFonts w:eastAsia="Times New Roman"/>
              </w:rPr>
              <w:t xml:space="preserve"> июля 2023 г.</w:t>
            </w:r>
          </w:p>
        </w:tc>
        <w:tc>
          <w:tcPr>
            <w:tcW w:w="3023" w:type="dxa"/>
          </w:tcPr>
          <w:p w:rsidR="00A4191D" w:rsidRPr="00105276" w:rsidRDefault="00A4191D" w:rsidP="00721B28">
            <w:pPr>
              <w:jc w:val="right"/>
              <w:rPr>
                <w:rFonts w:eastAsia="Times New Roman"/>
                <w:highlight w:val="yellow"/>
              </w:rPr>
            </w:pPr>
          </w:p>
        </w:tc>
        <w:tc>
          <w:tcPr>
            <w:tcW w:w="3109" w:type="dxa"/>
            <w:shd w:val="clear" w:color="auto" w:fill="auto"/>
          </w:tcPr>
          <w:p w:rsidR="00A4191D" w:rsidRPr="00B27A16" w:rsidRDefault="00A4191D" w:rsidP="00B27A16">
            <w:pPr>
              <w:jc w:val="right"/>
              <w:rPr>
                <w:rFonts w:eastAsia="Times New Roman"/>
              </w:rPr>
            </w:pPr>
            <w:r w:rsidRPr="00B27A16">
              <w:rPr>
                <w:rFonts w:eastAsia="Times New Roman"/>
              </w:rPr>
              <w:t xml:space="preserve">№ </w:t>
            </w:r>
            <w:r w:rsidR="00B27A16" w:rsidRPr="00B27A16">
              <w:rPr>
                <w:rFonts w:eastAsia="Times New Roman"/>
              </w:rPr>
              <w:t>31</w:t>
            </w:r>
            <w:r w:rsidRPr="00B27A16">
              <w:rPr>
                <w:rFonts w:eastAsia="Times New Roman"/>
              </w:rPr>
              <w:t xml:space="preserve">-Э </w:t>
            </w:r>
          </w:p>
        </w:tc>
      </w:tr>
    </w:tbl>
    <w:p w:rsidR="00C90E8F" w:rsidRPr="008A2F50" w:rsidRDefault="00A4191D" w:rsidP="008A2F50">
      <w:pPr>
        <w:jc w:val="both"/>
        <w:rPr>
          <w:rFonts w:eastAsia="Times New Roman"/>
          <w:sz w:val="26"/>
        </w:rPr>
      </w:pPr>
      <w:r w:rsidRPr="0093390E">
        <w:rPr>
          <w:rFonts w:eastAsia="Times New Roman"/>
        </w:rPr>
        <w:t xml:space="preserve">по проекту постановления администрации Тернейского муниципального округа «Об утверждении муниципальной программы </w:t>
      </w:r>
      <w:r w:rsidRPr="00821390">
        <w:rPr>
          <w:rFonts w:eastAsia="Times New Roman"/>
        </w:rPr>
        <w:t>«</w:t>
      </w:r>
      <w:r w:rsidR="00062813">
        <w:rPr>
          <w:rFonts w:eastAsia="Times New Roman"/>
        </w:rPr>
        <w:t xml:space="preserve">Энергосбережение и повышение энергетической эффективности в </w:t>
      </w:r>
      <w:r w:rsidR="002F0254">
        <w:rPr>
          <w:rFonts w:eastAsia="Times New Roman"/>
        </w:rPr>
        <w:t>Тернейско</w:t>
      </w:r>
      <w:r w:rsidR="00062813">
        <w:rPr>
          <w:rFonts w:eastAsia="Times New Roman"/>
        </w:rPr>
        <w:t>м</w:t>
      </w:r>
      <w:r w:rsidR="002F0254">
        <w:rPr>
          <w:rFonts w:eastAsia="Times New Roman"/>
        </w:rPr>
        <w:t xml:space="preserve"> муниципально</w:t>
      </w:r>
      <w:r w:rsidR="00062813">
        <w:rPr>
          <w:rFonts w:eastAsia="Times New Roman"/>
        </w:rPr>
        <w:t xml:space="preserve">м </w:t>
      </w:r>
      <w:r w:rsidR="002F0254">
        <w:rPr>
          <w:rFonts w:eastAsia="Times New Roman"/>
        </w:rPr>
        <w:t>округ</w:t>
      </w:r>
      <w:r w:rsidR="00062813">
        <w:rPr>
          <w:rFonts w:eastAsia="Times New Roman"/>
        </w:rPr>
        <w:t>е</w:t>
      </w:r>
      <w:r w:rsidR="002F0254">
        <w:rPr>
          <w:rFonts w:eastAsia="Times New Roman"/>
        </w:rPr>
        <w:t xml:space="preserve"> </w:t>
      </w:r>
      <w:r w:rsidRPr="00821390">
        <w:rPr>
          <w:rFonts w:eastAsia="Times New Roman"/>
        </w:rPr>
        <w:t>на 20</w:t>
      </w:r>
      <w:r>
        <w:rPr>
          <w:rFonts w:eastAsia="Times New Roman"/>
        </w:rPr>
        <w:t>24</w:t>
      </w:r>
      <w:r w:rsidRPr="00821390">
        <w:rPr>
          <w:rFonts w:eastAsia="Times New Roman"/>
        </w:rPr>
        <w:t>-20</w:t>
      </w:r>
      <w:r>
        <w:rPr>
          <w:rFonts w:eastAsia="Times New Roman"/>
        </w:rPr>
        <w:t>30</w:t>
      </w:r>
      <w:r w:rsidRPr="00821390">
        <w:rPr>
          <w:rFonts w:eastAsia="Times New Roman"/>
        </w:rPr>
        <w:t xml:space="preserve"> годы</w:t>
      </w:r>
      <w:r w:rsidR="002F0254">
        <w:rPr>
          <w:rFonts w:eastAsia="Times New Roman"/>
        </w:rPr>
        <w:t>»</w:t>
      </w:r>
      <w:r w:rsidRPr="0093390E">
        <w:rPr>
          <w:rFonts w:eastAsia="Times New Roman"/>
          <w:sz w:val="26"/>
        </w:rPr>
        <w:t>.</w:t>
      </w:r>
    </w:p>
    <w:p w:rsidR="008A2F50" w:rsidRPr="0093390E" w:rsidRDefault="008A2F50" w:rsidP="008A2F50">
      <w:pPr>
        <w:spacing w:before="120"/>
        <w:ind w:firstLine="709"/>
        <w:jc w:val="both"/>
      </w:pPr>
      <w:r w:rsidRPr="0093390E">
        <w:t xml:space="preserve">Настоящее заключение на проект постановления </w:t>
      </w:r>
      <w:r w:rsidRPr="0093390E">
        <w:rPr>
          <w:bCs/>
        </w:rPr>
        <w:t xml:space="preserve">администрации Тернейского муниципального округа </w:t>
      </w:r>
      <w:r w:rsidRPr="008A2F50">
        <w:rPr>
          <w:rFonts w:eastAsia="Times New Roman"/>
        </w:rPr>
        <w:t xml:space="preserve">«Об утверждении муниципальной программы </w:t>
      </w:r>
      <w:r w:rsidR="00231485" w:rsidRPr="00231485">
        <w:rPr>
          <w:rFonts w:eastAsia="Times New Roman"/>
        </w:rPr>
        <w:t>«Энергосбережение и повышение энергетической эффективности в Тернейском муниципа</w:t>
      </w:r>
      <w:r w:rsidR="00231485">
        <w:rPr>
          <w:rFonts w:eastAsia="Times New Roman"/>
        </w:rPr>
        <w:t xml:space="preserve">льном округе на 2024-2030 годы» </w:t>
      </w:r>
      <w:r w:rsidRPr="0093390E">
        <w:rPr>
          <w:bCs/>
        </w:rPr>
        <w:t xml:space="preserve">(далее – Программа) подготовлено Контрольно-счетной комиссией Тернейского муниципального округа на основании пункта 2 статьи 157 Бюджетного кодекса Российской Федерации, статьи 9 </w:t>
      </w:r>
      <w:r w:rsidRPr="0093390E">
        <w:t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8 Положения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93390E">
        <w:t>.</w:t>
      </w:r>
    </w:p>
    <w:p w:rsidR="008A2F50" w:rsidRPr="0093390E" w:rsidRDefault="008A2F50" w:rsidP="008A2F50">
      <w:pPr>
        <w:ind w:firstLine="540"/>
        <w:jc w:val="both"/>
        <w:rPr>
          <w:i/>
          <w:color w:val="000000"/>
        </w:rPr>
      </w:pPr>
      <w:r w:rsidRPr="0093390E">
        <w:rPr>
          <w:color w:val="000000"/>
        </w:rPr>
        <w:t>Для подготовки заключения использованы следующие нормативно-правовые акты: Бюджетный Кодекс Российской Федерации (далее – БК РФ), Федеральный закон от 06.10.2003 № 131-ФЗ «Об общих принципах организации местного самоуправления в Российской Федерации, Положение о Порядке разработки, утверждения и реализации муниципальных программ их формирования и реализации в Тернейском муниципальном районе 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17.02.2014г. (далее – Порядок разработки МП).</w:t>
      </w:r>
    </w:p>
    <w:p w:rsidR="00B924E4" w:rsidRDefault="008A2F50" w:rsidP="008A2F50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 w:rsidRPr="0093390E">
        <w:rPr>
          <w:rFonts w:ascii="Times New Roman" w:eastAsia="MS Mincho" w:hAnsi="Times New Roman"/>
          <w:i w:val="0"/>
          <w:szCs w:val="24"/>
        </w:rPr>
        <w:t>Программа рассмотрена на предмет соответствия БК РФ, Порядку разработки МП и иным нормативным правовым актам, регламентирую</w:t>
      </w:r>
      <w:r w:rsidR="00B924E4">
        <w:rPr>
          <w:rFonts w:ascii="Times New Roman" w:eastAsia="MS Mincho" w:hAnsi="Times New Roman"/>
          <w:i w:val="0"/>
          <w:szCs w:val="24"/>
        </w:rPr>
        <w:t>щим сферу реализации Программы.</w:t>
      </w:r>
    </w:p>
    <w:p w:rsidR="008A2F50" w:rsidRDefault="008A2F50" w:rsidP="008A2F50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hAnsi="Times New Roman"/>
          <w:i w:val="0"/>
          <w:color w:val="000000"/>
        </w:rPr>
        <w:t xml:space="preserve">Проект постановления администрации Тернейского муниципального округа </w:t>
      </w:r>
      <w:r w:rsidRPr="0093390E">
        <w:rPr>
          <w:rFonts w:ascii="Times New Roman" w:hAnsi="Times New Roman"/>
          <w:i w:val="0"/>
        </w:rPr>
        <w:t xml:space="preserve">об утверждении муниципальной программы </w:t>
      </w:r>
      <w:r w:rsidR="00E666C2">
        <w:rPr>
          <w:rFonts w:ascii="Times New Roman" w:hAnsi="Times New Roman"/>
          <w:i w:val="0"/>
        </w:rPr>
        <w:t xml:space="preserve">с пояснительной запиской </w:t>
      </w:r>
      <w:r w:rsidRPr="0093390E">
        <w:rPr>
          <w:rFonts w:ascii="Times New Roman" w:hAnsi="Times New Roman"/>
          <w:i w:val="0"/>
          <w:color w:val="000000"/>
        </w:rPr>
        <w:t xml:space="preserve">предоставлен в Контрольно-счетную комиссию </w:t>
      </w:r>
      <w:r w:rsidR="00231485">
        <w:rPr>
          <w:rFonts w:ascii="Times New Roman" w:hAnsi="Times New Roman"/>
          <w:i w:val="0"/>
          <w:color w:val="000000"/>
        </w:rPr>
        <w:t>0</w:t>
      </w:r>
      <w:r w:rsidR="00231485">
        <w:rPr>
          <w:rFonts w:ascii="Times New Roman" w:hAnsi="Times New Roman"/>
          <w:i w:val="0"/>
        </w:rPr>
        <w:t>4</w:t>
      </w:r>
      <w:r w:rsidR="00E666C2">
        <w:rPr>
          <w:rFonts w:ascii="Times New Roman" w:hAnsi="Times New Roman"/>
          <w:i w:val="0"/>
        </w:rPr>
        <w:t>.07.</w:t>
      </w:r>
      <w:r w:rsidRPr="0093390E">
        <w:rPr>
          <w:rFonts w:ascii="Times New Roman" w:hAnsi="Times New Roman"/>
          <w:i w:val="0"/>
        </w:rPr>
        <w:t>202</w:t>
      </w:r>
      <w:r>
        <w:rPr>
          <w:rFonts w:ascii="Times New Roman" w:hAnsi="Times New Roman"/>
          <w:i w:val="0"/>
        </w:rPr>
        <w:t>3</w:t>
      </w:r>
      <w:r w:rsidR="00231485">
        <w:rPr>
          <w:rFonts w:ascii="Times New Roman" w:hAnsi="Times New Roman"/>
          <w:i w:val="0"/>
        </w:rPr>
        <w:t xml:space="preserve">, </w:t>
      </w:r>
      <w:r w:rsidR="006F175A">
        <w:rPr>
          <w:rFonts w:ascii="Times New Roman" w:hAnsi="Times New Roman"/>
          <w:i w:val="0"/>
        </w:rPr>
        <w:t>откорректированный</w:t>
      </w:r>
      <w:r w:rsidR="00231485">
        <w:rPr>
          <w:rFonts w:ascii="Times New Roman" w:hAnsi="Times New Roman"/>
          <w:i w:val="0"/>
        </w:rPr>
        <w:t xml:space="preserve"> вариант 12.07.2023.</w:t>
      </w:r>
    </w:p>
    <w:p w:rsidR="009A0816" w:rsidRDefault="009A0816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9A0816">
        <w:rPr>
          <w:rFonts w:ascii="Times New Roman" w:hAnsi="Times New Roman"/>
          <w:i w:val="0"/>
        </w:rPr>
        <w:t>Разработчик и координатор программы отдел жизнеобеспечения и развития инфраструктуры администрации Тернейского муниципального округа Приморского края</w:t>
      </w:r>
      <w:r w:rsidR="00B924E4">
        <w:rPr>
          <w:rFonts w:ascii="Times New Roman" w:hAnsi="Times New Roman"/>
          <w:i w:val="0"/>
        </w:rPr>
        <w:t xml:space="preserve">. </w:t>
      </w:r>
      <w:r w:rsidRPr="009A0816">
        <w:rPr>
          <w:rFonts w:ascii="Times New Roman" w:hAnsi="Times New Roman"/>
          <w:i w:val="0"/>
        </w:rPr>
        <w:t>В соответствии с пунктом 1.2 Порядка разработки</w:t>
      </w:r>
      <w:r w:rsidR="00B924E4">
        <w:rPr>
          <w:rFonts w:ascii="Times New Roman" w:hAnsi="Times New Roman"/>
          <w:i w:val="0"/>
        </w:rPr>
        <w:t xml:space="preserve"> МП </w:t>
      </w:r>
      <w:r w:rsidRPr="009A0816">
        <w:rPr>
          <w:rFonts w:ascii="Times New Roman" w:hAnsi="Times New Roman"/>
          <w:i w:val="0"/>
        </w:rPr>
        <w:t>муниципальным заказчиком Программы является администрация Тернейского муниципального округа Приморского края.</w:t>
      </w:r>
    </w:p>
    <w:p w:rsidR="00CC5780" w:rsidRDefault="005B51FA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5B51FA">
        <w:rPr>
          <w:rFonts w:ascii="Times New Roman" w:hAnsi="Times New Roman"/>
          <w:i w:val="0"/>
        </w:rPr>
        <w:t>Согласно паспорта Программы цел</w:t>
      </w:r>
      <w:r w:rsidR="00CC5780">
        <w:rPr>
          <w:rFonts w:ascii="Times New Roman" w:hAnsi="Times New Roman"/>
          <w:i w:val="0"/>
        </w:rPr>
        <w:t>и</w:t>
      </w:r>
      <w:r w:rsidRPr="005B51FA">
        <w:rPr>
          <w:rFonts w:ascii="Times New Roman" w:hAnsi="Times New Roman"/>
          <w:i w:val="0"/>
        </w:rPr>
        <w:t xml:space="preserve"> программы: </w:t>
      </w:r>
    </w:p>
    <w:p w:rsidR="00CC5780" w:rsidRDefault="00CC5780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D04EDE">
        <w:rPr>
          <w:rFonts w:ascii="Times New Roman" w:hAnsi="Times New Roman"/>
          <w:i w:val="0"/>
        </w:rPr>
        <w:t xml:space="preserve">развитие систем </w:t>
      </w:r>
      <w:r w:rsidR="00105276">
        <w:rPr>
          <w:rFonts w:ascii="Times New Roman" w:hAnsi="Times New Roman"/>
          <w:i w:val="0"/>
        </w:rPr>
        <w:t>тепло электроснабжения</w:t>
      </w:r>
      <w:r w:rsidR="00502ADF">
        <w:rPr>
          <w:rFonts w:ascii="Times New Roman" w:hAnsi="Times New Roman"/>
          <w:i w:val="0"/>
        </w:rPr>
        <w:t xml:space="preserve"> для надежного обеспечения потребителей энергоресурсами</w:t>
      </w:r>
      <w:r w:rsidR="000239B0">
        <w:rPr>
          <w:rFonts w:ascii="Times New Roman" w:hAnsi="Times New Roman"/>
          <w:i w:val="0"/>
        </w:rPr>
        <w:t>;</w:t>
      </w:r>
    </w:p>
    <w:p w:rsidR="000239B0" w:rsidRDefault="000239B0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энергосбережение и повышение энергетической эффективности в жилищно-коммунальном комплексе Тернейского муниципального округа к 2030 году.</w:t>
      </w:r>
    </w:p>
    <w:p w:rsidR="005B51FA" w:rsidRDefault="005B51FA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5B51FA">
        <w:rPr>
          <w:rFonts w:ascii="Times New Roman" w:hAnsi="Times New Roman"/>
          <w:i w:val="0"/>
        </w:rPr>
        <w:t>Для реализации данн</w:t>
      </w:r>
      <w:r w:rsidR="009171A1">
        <w:rPr>
          <w:rFonts w:ascii="Times New Roman" w:hAnsi="Times New Roman"/>
          <w:i w:val="0"/>
        </w:rPr>
        <w:t>ых целей</w:t>
      </w:r>
      <w:r w:rsidRPr="005B51FA">
        <w:rPr>
          <w:rFonts w:ascii="Times New Roman" w:hAnsi="Times New Roman"/>
          <w:i w:val="0"/>
        </w:rPr>
        <w:t xml:space="preserve">, предусмотрено решение </w:t>
      </w:r>
      <w:r w:rsidR="009171A1">
        <w:rPr>
          <w:rFonts w:ascii="Times New Roman" w:hAnsi="Times New Roman"/>
          <w:i w:val="0"/>
        </w:rPr>
        <w:t xml:space="preserve">следующих </w:t>
      </w:r>
      <w:r w:rsidRPr="005B51FA">
        <w:rPr>
          <w:rFonts w:ascii="Times New Roman" w:hAnsi="Times New Roman"/>
          <w:i w:val="0"/>
        </w:rPr>
        <w:t>задач:</w:t>
      </w:r>
    </w:p>
    <w:p w:rsidR="000D66A8" w:rsidRDefault="000D66A8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9171A1">
        <w:rPr>
          <w:rFonts w:ascii="Times New Roman" w:hAnsi="Times New Roman"/>
          <w:i w:val="0"/>
        </w:rPr>
        <w:t>замено морально устаревшего и физически изношенного оборудования</w:t>
      </w:r>
      <w:r>
        <w:rPr>
          <w:rFonts w:ascii="Times New Roman" w:hAnsi="Times New Roman"/>
          <w:i w:val="0"/>
        </w:rPr>
        <w:t>;</w:t>
      </w:r>
      <w:r w:rsidR="009A0816" w:rsidRPr="009A0816">
        <w:rPr>
          <w:rFonts w:ascii="Times New Roman" w:hAnsi="Times New Roman"/>
          <w:i w:val="0"/>
        </w:rPr>
        <w:t xml:space="preserve"> </w:t>
      </w:r>
    </w:p>
    <w:p w:rsidR="000D66A8" w:rsidRDefault="000D66A8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9171A1">
        <w:rPr>
          <w:rFonts w:ascii="Times New Roman" w:hAnsi="Times New Roman"/>
          <w:i w:val="0"/>
        </w:rPr>
        <w:t xml:space="preserve">строительство, реконструкция, модернизация и капитальный ремонт объектов </w:t>
      </w:r>
      <w:r w:rsidR="00616F4D">
        <w:rPr>
          <w:rFonts w:ascii="Times New Roman" w:hAnsi="Times New Roman"/>
          <w:i w:val="0"/>
        </w:rPr>
        <w:t>коммунальной</w:t>
      </w:r>
      <w:r w:rsidR="009171A1">
        <w:rPr>
          <w:rFonts w:ascii="Times New Roman" w:hAnsi="Times New Roman"/>
          <w:i w:val="0"/>
        </w:rPr>
        <w:t xml:space="preserve"> инфраструктуры Тернейского муниципального округа</w:t>
      </w:r>
      <w:r w:rsidR="00630CCE">
        <w:rPr>
          <w:rFonts w:ascii="Times New Roman" w:hAnsi="Times New Roman"/>
          <w:i w:val="0"/>
        </w:rPr>
        <w:t>;</w:t>
      </w:r>
    </w:p>
    <w:p w:rsidR="007F4144" w:rsidRDefault="00630CCE" w:rsidP="0058038A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</w:t>
      </w:r>
      <w:r w:rsidR="00616F4D">
        <w:rPr>
          <w:rFonts w:ascii="Times New Roman" w:hAnsi="Times New Roman"/>
          <w:i w:val="0"/>
        </w:rPr>
        <w:t>снижение затрат муниципальных учреждений Тернейского муниципального округа на оплату потребляемых</w:t>
      </w:r>
      <w:r w:rsidR="007F4144">
        <w:rPr>
          <w:rFonts w:ascii="Times New Roman" w:hAnsi="Times New Roman"/>
          <w:i w:val="0"/>
        </w:rPr>
        <w:t xml:space="preserve"> энергоресурсов;</w:t>
      </w:r>
    </w:p>
    <w:p w:rsidR="002D493B" w:rsidRPr="002D493B" w:rsidRDefault="007F4144" w:rsidP="002D493B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- повышение эффективности производства, </w:t>
      </w:r>
      <w:r w:rsidR="00AA14E8">
        <w:rPr>
          <w:rFonts w:ascii="Times New Roman" w:hAnsi="Times New Roman"/>
          <w:i w:val="0"/>
        </w:rPr>
        <w:t xml:space="preserve">передачи тепловой и электрической энергии за счет внедрения </w:t>
      </w:r>
      <w:r w:rsidR="000055EB">
        <w:rPr>
          <w:rFonts w:ascii="Times New Roman" w:hAnsi="Times New Roman"/>
          <w:i w:val="0"/>
        </w:rPr>
        <w:t>энергосберегающих технологий.</w:t>
      </w:r>
      <w:r w:rsidR="00616F4D">
        <w:rPr>
          <w:rFonts w:ascii="Times New Roman" w:hAnsi="Times New Roman"/>
          <w:i w:val="0"/>
        </w:rPr>
        <w:t xml:space="preserve"> </w:t>
      </w:r>
      <w:r w:rsidR="002D493B" w:rsidRPr="002D493B">
        <w:rPr>
          <w:rFonts w:ascii="Times New Roman" w:hAnsi="Times New Roman"/>
          <w:i w:val="0"/>
        </w:rPr>
        <w:t xml:space="preserve">Программу планируется </w:t>
      </w:r>
      <w:r w:rsidR="002D493B" w:rsidRPr="002D493B">
        <w:rPr>
          <w:rFonts w:ascii="Times New Roman" w:hAnsi="Times New Roman"/>
          <w:i w:val="0"/>
        </w:rPr>
        <w:lastRenderedPageBreak/>
        <w:t>реализовать в 202</w:t>
      </w:r>
      <w:r w:rsidR="002D493B">
        <w:rPr>
          <w:rFonts w:ascii="Times New Roman" w:hAnsi="Times New Roman"/>
          <w:i w:val="0"/>
        </w:rPr>
        <w:t>4</w:t>
      </w:r>
      <w:r w:rsidR="002D493B" w:rsidRPr="002D493B">
        <w:rPr>
          <w:rFonts w:ascii="Times New Roman" w:hAnsi="Times New Roman"/>
          <w:i w:val="0"/>
        </w:rPr>
        <w:t xml:space="preserve">-2030 годы. Программой предусмотрено исполнение </w:t>
      </w:r>
      <w:r w:rsidR="002D493B">
        <w:rPr>
          <w:rFonts w:ascii="Times New Roman" w:hAnsi="Times New Roman"/>
          <w:i w:val="0"/>
        </w:rPr>
        <w:t>девяти</w:t>
      </w:r>
      <w:r w:rsidR="002D493B" w:rsidRPr="002D493B">
        <w:rPr>
          <w:rFonts w:ascii="Times New Roman" w:hAnsi="Times New Roman"/>
          <w:i w:val="0"/>
        </w:rPr>
        <w:t xml:space="preserve"> основных мероприятий.</w:t>
      </w:r>
    </w:p>
    <w:p w:rsidR="00CD3A32" w:rsidRDefault="00F316CC" w:rsidP="008C0331">
      <w:pPr>
        <w:pStyle w:val="ConsPlusNormal"/>
        <w:ind w:firstLine="709"/>
        <w:jc w:val="both"/>
      </w:pPr>
      <w:r w:rsidRPr="00F316CC">
        <w:t xml:space="preserve">Источник финансирования мероприятий Программы </w:t>
      </w:r>
      <w:r w:rsidRPr="00350A61">
        <w:t xml:space="preserve">согласно паспорту </w:t>
      </w:r>
      <w:r w:rsidRPr="00F316CC">
        <w:t>– бюджет Тернейского муниципального округа, средства бюджета Приморского края.</w:t>
      </w:r>
    </w:p>
    <w:p w:rsidR="00A1482D" w:rsidRDefault="003965F6" w:rsidP="00A1482D">
      <w:pPr>
        <w:pStyle w:val="ConsPlusNormal"/>
        <w:ind w:firstLine="709"/>
        <w:jc w:val="both"/>
      </w:pPr>
      <w:r w:rsidRPr="003965F6">
        <w:t xml:space="preserve">Общий объем финансирования, на реализацию Программы согласно паспорту, составит </w:t>
      </w:r>
      <w:r w:rsidR="000A76E7" w:rsidRPr="000A76E7">
        <w:rPr>
          <w:b/>
        </w:rPr>
        <w:t>10 446 553,08</w:t>
      </w:r>
      <w:r w:rsidRPr="003965F6">
        <w:t xml:space="preserve"> руб.</w:t>
      </w:r>
      <w:r w:rsidR="009B10E0">
        <w:t xml:space="preserve"> </w:t>
      </w:r>
      <w:r w:rsidR="00A1482D">
        <w:t xml:space="preserve">за счет </w:t>
      </w:r>
      <w:r w:rsidR="009B10E0">
        <w:t>средств бюджета округа</w:t>
      </w:r>
      <w:r w:rsidR="00A1482D">
        <w:t>. Планируемый объем финансирования в разрезе мероприятий, по годам представлен</w:t>
      </w:r>
      <w:r w:rsidR="004B66CA">
        <w:t xml:space="preserve"> в таблице 1 (Приложение к </w:t>
      </w:r>
      <w:r w:rsidR="00E17F1E">
        <w:t>заключению</w:t>
      </w:r>
      <w:r w:rsidR="004B66CA">
        <w:t>).</w:t>
      </w:r>
    </w:p>
    <w:p w:rsidR="00125265" w:rsidRDefault="00125265" w:rsidP="00611986">
      <w:pPr>
        <w:pStyle w:val="ConsPlusNormal"/>
        <w:ind w:firstLine="709"/>
        <w:jc w:val="both"/>
      </w:pPr>
      <w:r w:rsidRPr="00125265">
        <w:t>В соответствии с п. 2.4.8. Порядка разработки МП</w:t>
      </w:r>
      <w:r w:rsidR="00D67589">
        <w:t>,</w:t>
      </w:r>
      <w:r w:rsidRPr="00125265">
        <w:t xml:space="preserve"> целевые индикаторы- количественные показатели эффективности реализации программы, отражающие степень выполнения задач программы. </w:t>
      </w:r>
      <w:r w:rsidR="00994F63">
        <w:t>Целевые индикаторы Программы не</w:t>
      </w:r>
      <w:r w:rsidR="00611986">
        <w:t xml:space="preserve"> отражают степень выполнения задач программы и </w:t>
      </w:r>
      <w:r w:rsidRPr="00125265">
        <w:t xml:space="preserve">невозможно установить взаимосвязь между реализацией мероприятий и достижением значений целевых показателей </w:t>
      </w:r>
      <w:r w:rsidR="0015747C">
        <w:t>Программы</w:t>
      </w:r>
      <w:r w:rsidRPr="00125265">
        <w:t xml:space="preserve">, а значит, провести оценку степени выполнения задач программы не представится возможным. </w:t>
      </w:r>
    </w:p>
    <w:p w:rsidR="006F175A" w:rsidRDefault="006F175A" w:rsidP="006F175A">
      <w:pPr>
        <w:pStyle w:val="ConsPlusNormal"/>
        <w:ind w:firstLine="709"/>
        <w:jc w:val="both"/>
      </w:pPr>
      <w:r>
        <w:t>В соответствии с п. 2.4.9 Порядка разработки МП раздел программы «Оценка эффективности реализации программы» с учетом специфики программы должен включать в себя показатели, необходимые для анализа и оценки конкретных результатов выполнения программы по годам, использования бюджетных и внебюджетных средств, эффективности реализации программных мероприятий. В разделе должны приводиться как конкретные показатели, так и методики расчета, применяемые для оценки ожидаемой социально-экономической эффективности программы. В нарушение пункта 2.4.9. Порядка разработки МП конкретные показатели и методика оценки эффективности программы отсутствуют.</w:t>
      </w:r>
    </w:p>
    <w:p w:rsidR="00B12434" w:rsidRDefault="00357084" w:rsidP="006F175A">
      <w:pPr>
        <w:pStyle w:val="ConsPlusNormal"/>
        <w:ind w:firstLine="709"/>
        <w:jc w:val="both"/>
      </w:pPr>
      <w:r>
        <w:t>В соответствии с п.</w:t>
      </w:r>
      <w:r w:rsidR="00DE5433" w:rsidRPr="00DE5433">
        <w:t xml:space="preserve">2.6 Порядка разработки </w:t>
      </w:r>
      <w:r w:rsidR="005601AA">
        <w:t xml:space="preserve">МП </w:t>
      </w:r>
      <w:r w:rsidR="00BD5DBF">
        <w:t>к проекту Программы прилагае</w:t>
      </w:r>
      <w:r w:rsidR="00DE5433" w:rsidRPr="00DE5433">
        <w:t>тся финансово-экономическое обоснование проекта программы. Следовательно, при предоставлении проекта постановления на согласование и экспертизу н</w:t>
      </w:r>
      <w:r>
        <w:t>еобходимо руководствоваться п.</w:t>
      </w:r>
      <w:r w:rsidR="00DE5433" w:rsidRPr="00DE5433">
        <w:t>2.6 Порядка разработки МП. Проект постановления представлен без финансово-экономического обоснования.</w:t>
      </w:r>
    </w:p>
    <w:p w:rsidR="00A956C3" w:rsidRDefault="00A956C3" w:rsidP="00421BF5">
      <w:pPr>
        <w:pStyle w:val="ConsPlusNormal"/>
        <w:ind w:firstLine="709"/>
        <w:jc w:val="both"/>
      </w:pPr>
      <w:r w:rsidRPr="00A956C3">
        <w:t xml:space="preserve">В </w:t>
      </w:r>
      <w:r>
        <w:t xml:space="preserve">текстовой части пункта 1 </w:t>
      </w:r>
      <w:r w:rsidR="00842192">
        <w:t>паспорта</w:t>
      </w:r>
      <w:r w:rsidR="00D35B8B">
        <w:t xml:space="preserve"> П</w:t>
      </w:r>
      <w:r>
        <w:t xml:space="preserve">рограммы </w:t>
      </w:r>
      <w:r w:rsidR="00C315E0">
        <w:t>«</w:t>
      </w:r>
      <w:r w:rsidR="00357084">
        <w:t>С</w:t>
      </w:r>
      <w:r w:rsidR="00C315E0">
        <w:t xml:space="preserve">овременное состояние объектов </w:t>
      </w:r>
      <w:r w:rsidR="00985F1B">
        <w:t>коммунальный инфраструктуры Тернейского муниципального района</w:t>
      </w:r>
      <w:r w:rsidR="00C315E0">
        <w:t>»</w:t>
      </w:r>
      <w:r w:rsidR="00985F1B">
        <w:t xml:space="preserve"> следует «</w:t>
      </w:r>
      <w:r w:rsidR="00357084">
        <w:t>С</w:t>
      </w:r>
      <w:r w:rsidR="00985F1B" w:rsidRPr="00985F1B">
        <w:t>овременное состояние объектов коммунальный инфраструктуры Т</w:t>
      </w:r>
      <w:r w:rsidR="00985F1B">
        <w:t>ернейского муниципального округа»</w:t>
      </w:r>
      <w:r w:rsidR="00D35B8B">
        <w:t>.</w:t>
      </w:r>
    </w:p>
    <w:p w:rsidR="00421BF5" w:rsidRPr="00421BF5" w:rsidRDefault="00421BF5" w:rsidP="00421BF5">
      <w:pPr>
        <w:pStyle w:val="ConsPlusNormal"/>
        <w:ind w:firstLine="709"/>
        <w:jc w:val="both"/>
        <w:rPr>
          <w:b/>
        </w:rPr>
      </w:pPr>
      <w:r w:rsidRPr="00421BF5">
        <w:rPr>
          <w:b/>
        </w:rPr>
        <w:t>Выводы.</w:t>
      </w:r>
    </w:p>
    <w:p w:rsidR="00421BF5" w:rsidRDefault="00421BF5" w:rsidP="00421BF5">
      <w:pPr>
        <w:pStyle w:val="ConsPlusNormal"/>
        <w:ind w:firstLine="709"/>
        <w:jc w:val="both"/>
      </w:pPr>
      <w:r>
        <w:t>Представленная Программа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самоуправления в Российской Федерации».</w:t>
      </w:r>
    </w:p>
    <w:p w:rsidR="00C92514" w:rsidRDefault="00C92514" w:rsidP="00C92514">
      <w:pPr>
        <w:pStyle w:val="ConsPlusNormal"/>
        <w:ind w:firstLine="709"/>
        <w:jc w:val="both"/>
      </w:pPr>
      <w:r>
        <w:t>Показатели, необходимые для анализа и оценки конкретных результатов выполнения программы и методика оценки эффективности программы отсутствует, чем нарушен пункт 2.4.9 Порядка разработки муниципальных программ. Провести проверку и анализ оценки эффективности реализации программы не представилось возможным.</w:t>
      </w:r>
    </w:p>
    <w:p w:rsidR="007A71B6" w:rsidRDefault="00C92514" w:rsidP="0008397D">
      <w:pPr>
        <w:pStyle w:val="ConsPlusNormal"/>
        <w:ind w:firstLine="709"/>
        <w:jc w:val="both"/>
      </w:pPr>
      <w:r w:rsidRPr="00C92514">
        <w:t xml:space="preserve">Количественные показатели эффективности реализации программы, отражающие степень выполнения задач программы «целевые индикаторы» </w:t>
      </w:r>
      <w:r w:rsidR="007A71B6">
        <w:t>не отражают степень</w:t>
      </w:r>
      <w:r w:rsidR="0008397D">
        <w:t xml:space="preserve"> выполнения задач П</w:t>
      </w:r>
      <w:r w:rsidR="007A71B6" w:rsidRPr="00C92514">
        <w:t>рограммы</w:t>
      </w:r>
      <w:r w:rsidR="0008397D">
        <w:t xml:space="preserve">, </w:t>
      </w:r>
      <w:r w:rsidRPr="00C92514">
        <w:t>следовательно, провести оценку не представляется возможным.</w:t>
      </w:r>
    </w:p>
    <w:p w:rsidR="007E75D7" w:rsidRDefault="007E75D7" w:rsidP="007E75D7">
      <w:pPr>
        <w:pStyle w:val="ConsPlusNormal"/>
        <w:ind w:firstLine="709"/>
        <w:jc w:val="both"/>
      </w:pPr>
      <w:r>
        <w:t xml:space="preserve">В нарушение п. 2.6. Порядка разработки МП, к проекту программы не приложено финансово-экономическое обоснование проекта программы. В связи с вышеуказанным провести проверку финансово-экономического обоснования объемов финансирования программных мероприятий не представилось возможным. </w:t>
      </w:r>
    </w:p>
    <w:p w:rsidR="00C62594" w:rsidRDefault="00C62594" w:rsidP="00DA2134">
      <w:pPr>
        <w:pStyle w:val="ConsPlusNormal"/>
        <w:ind w:firstLine="709"/>
        <w:jc w:val="both"/>
      </w:pPr>
      <w:r w:rsidRPr="00C62594">
        <w:t>Контрольно-счетная комиссия рекомендует в приложении к Программе учесть принцип единообрази</w:t>
      </w:r>
      <w:r>
        <w:t>я</w:t>
      </w:r>
      <w:r w:rsidRPr="00C62594">
        <w:t xml:space="preserve"> написания наименований мероприятий. В наименованиях звучит «п. Терней» либо «пгт. Терней», а также по мероприятию «</w:t>
      </w:r>
      <w:proofErr w:type="spellStart"/>
      <w:r w:rsidRPr="00C62594">
        <w:t>Устанвока</w:t>
      </w:r>
      <w:proofErr w:type="spellEnd"/>
      <w:r w:rsidRPr="00C62594">
        <w:t xml:space="preserve"> ливневых канализаций на объектах ДЭС в с. Амгу, с. Малая-</w:t>
      </w:r>
      <w:proofErr w:type="spellStart"/>
      <w:r w:rsidRPr="00C62594">
        <w:t>Кема</w:t>
      </w:r>
      <w:proofErr w:type="spellEnd"/>
      <w:r w:rsidRPr="00C62594">
        <w:t>» следует «Установка ливневых канализаций на объектах ДЭС в с. Амгу, с. Малая-</w:t>
      </w:r>
      <w:proofErr w:type="spellStart"/>
      <w:r w:rsidRPr="00C62594">
        <w:t>Кема</w:t>
      </w:r>
      <w:proofErr w:type="spellEnd"/>
      <w:r w:rsidRPr="00C62594">
        <w:t xml:space="preserve">» либо «Установка ливневых канализаций на </w:t>
      </w:r>
      <w:r w:rsidRPr="00C62594">
        <w:lastRenderedPageBreak/>
        <w:t>объектах ДЭС в с. Амгу, с. Малая-</w:t>
      </w:r>
      <w:proofErr w:type="spellStart"/>
      <w:r w:rsidRPr="00C62594">
        <w:t>Кема</w:t>
      </w:r>
      <w:proofErr w:type="spellEnd"/>
      <w:r w:rsidRPr="00C62594">
        <w:t xml:space="preserve"> Тернейского муниципального округа».</w:t>
      </w:r>
    </w:p>
    <w:p w:rsidR="00707C9F" w:rsidRDefault="00421BF5" w:rsidP="00DA2134">
      <w:pPr>
        <w:pStyle w:val="ConsPlusNormal"/>
        <w:ind w:firstLine="709"/>
        <w:jc w:val="both"/>
      </w:pPr>
      <w:r>
        <w:t>Для реализации мероприятий Программы планируемый</w:t>
      </w:r>
      <w:r w:rsidR="00B37AE4">
        <w:t xml:space="preserve"> объем финансирования в 2024 г.</w:t>
      </w:r>
      <w:r>
        <w:t xml:space="preserve"> составит </w:t>
      </w:r>
      <w:r w:rsidR="00B37AE4" w:rsidRPr="00B37AE4">
        <w:rPr>
          <w:b/>
        </w:rPr>
        <w:t>2 451 088,14</w:t>
      </w:r>
      <w:r w:rsidR="00B37AE4">
        <w:t xml:space="preserve"> руб</w:t>
      </w:r>
      <w:r w:rsidR="00AC2385">
        <w:t>.</w:t>
      </w:r>
      <w:r>
        <w:t xml:space="preserve"> </w:t>
      </w:r>
      <w:r w:rsidR="00B37AE4">
        <w:t>средств бюджета округа</w:t>
      </w:r>
      <w:r>
        <w:t xml:space="preserve">. При разработке проекта бюджета Тернейского муниципального округа на 2024 и плановый период 2025-2026 год необходимо предусмотреть бюджетные ассигнования </w:t>
      </w:r>
      <w:r w:rsidR="00DA2134">
        <w:t>на реализацию данной Программы.</w:t>
      </w:r>
    </w:p>
    <w:p w:rsidR="00707C9F" w:rsidRDefault="004F6931" w:rsidP="00ED4BC3">
      <w:pPr>
        <w:pStyle w:val="ConsPlusNormal"/>
        <w:ind w:firstLine="709"/>
        <w:jc w:val="both"/>
      </w:pPr>
      <w:r w:rsidRPr="001F77DC">
        <w:t>Учитывая изложенное, Контрольно-счетная комиссия обращает внимание разработчика Программы на недопущен</w:t>
      </w:r>
      <w:r w:rsidR="00ED4BC3">
        <w:t xml:space="preserve">ие нарушений Порядка разработки МП, </w:t>
      </w:r>
      <w:r w:rsidR="006818EC" w:rsidRPr="006818EC">
        <w:t>учесть замечания, отраженные в заключении, исправленный проект предоставить в Контрольно-счетную комиссию.</w:t>
      </w:r>
    </w:p>
    <w:p w:rsidR="006818EC" w:rsidRDefault="006818EC" w:rsidP="00421BF5">
      <w:pPr>
        <w:pStyle w:val="ConsPlusNormal"/>
        <w:ind w:firstLine="709"/>
        <w:jc w:val="both"/>
      </w:pPr>
    </w:p>
    <w:p w:rsidR="006818EC" w:rsidRDefault="006818EC" w:rsidP="00421BF5">
      <w:pPr>
        <w:pStyle w:val="ConsPlusNormal"/>
        <w:ind w:firstLine="709"/>
        <w:jc w:val="both"/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F573D9" w:rsidRPr="001D37C9" w:rsidTr="00721B28">
        <w:tc>
          <w:tcPr>
            <w:tcW w:w="5778" w:type="dxa"/>
            <w:shd w:val="clear" w:color="auto" w:fill="auto"/>
          </w:tcPr>
          <w:p w:rsidR="00F573D9" w:rsidRPr="001D37C9" w:rsidRDefault="00F573D9" w:rsidP="00721B28">
            <w:pPr>
              <w:shd w:val="clear" w:color="auto" w:fill="FFFFFF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Ведущий инспектор Ко</w:t>
            </w:r>
            <w:r w:rsidRPr="001D37C9">
              <w:rPr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F573D9" w:rsidRPr="001D37C9" w:rsidRDefault="00F573D9" w:rsidP="00721B28">
            <w:pPr>
              <w:ind w:firstLine="709"/>
              <w:jc w:val="right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В.А. Евстифеева</w:t>
            </w:r>
          </w:p>
        </w:tc>
      </w:tr>
    </w:tbl>
    <w:p w:rsidR="00707C9F" w:rsidRDefault="00707C9F" w:rsidP="00421BF5">
      <w:pPr>
        <w:pStyle w:val="ConsPlusNormal"/>
        <w:ind w:firstLine="709"/>
        <w:jc w:val="both"/>
      </w:pPr>
    </w:p>
    <w:p w:rsidR="00707C9F" w:rsidRDefault="00707C9F" w:rsidP="00421BF5">
      <w:pPr>
        <w:pStyle w:val="ConsPlusNormal"/>
        <w:ind w:firstLine="709"/>
        <w:jc w:val="both"/>
      </w:pPr>
    </w:p>
    <w:p w:rsidR="00707C9F" w:rsidRDefault="00707C9F" w:rsidP="00421BF5">
      <w:pPr>
        <w:pStyle w:val="ConsPlusNormal"/>
        <w:ind w:firstLine="709"/>
        <w:jc w:val="both"/>
      </w:pPr>
    </w:p>
    <w:p w:rsidR="00707C9F" w:rsidRDefault="00707C9F" w:rsidP="00421BF5">
      <w:pPr>
        <w:pStyle w:val="ConsPlusNormal"/>
        <w:ind w:firstLine="709"/>
        <w:jc w:val="both"/>
      </w:pPr>
    </w:p>
    <w:p w:rsidR="00E85084" w:rsidRDefault="00E85084" w:rsidP="004D0536">
      <w:pPr>
        <w:pStyle w:val="ConsPlusNormal"/>
        <w:jc w:val="both"/>
        <w:sectPr w:rsidR="00E850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6DD" w:rsidRDefault="003B46DD" w:rsidP="00407A76">
      <w:pPr>
        <w:jc w:val="right"/>
      </w:pPr>
      <w:r w:rsidRPr="00240E65">
        <w:lastRenderedPageBreak/>
        <w:t xml:space="preserve">Приложение к Заключению </w:t>
      </w:r>
      <w:r w:rsidRPr="00B27A16">
        <w:t xml:space="preserve">от </w:t>
      </w:r>
      <w:r w:rsidR="00B27A16" w:rsidRPr="00B27A16">
        <w:t xml:space="preserve">13 июля </w:t>
      </w:r>
      <w:r w:rsidR="00407A76" w:rsidRPr="00B27A16">
        <w:t>2023</w:t>
      </w:r>
      <w:r w:rsidRPr="00B27A16">
        <w:t xml:space="preserve"> № </w:t>
      </w:r>
      <w:r w:rsidR="00B27A16" w:rsidRPr="00B27A16">
        <w:t>31</w:t>
      </w:r>
      <w:r w:rsidRPr="00B27A16">
        <w:t>-Э</w:t>
      </w:r>
    </w:p>
    <w:p w:rsidR="003B46DD" w:rsidRDefault="003B46DD" w:rsidP="00407A76">
      <w:pPr>
        <w:jc w:val="right"/>
      </w:pPr>
      <w:r>
        <w:t>Т</w:t>
      </w:r>
      <w:r w:rsidRPr="00C64C36">
        <w:t>аблиц</w:t>
      </w:r>
      <w:r>
        <w:t>а</w:t>
      </w:r>
      <w:r w:rsidRPr="00C64C36">
        <w:t xml:space="preserve"> 1</w:t>
      </w:r>
      <w:r>
        <w:t xml:space="preserve">. </w:t>
      </w:r>
      <w:r w:rsidR="00407A76" w:rsidRPr="00407A76">
        <w:t>Планируемый объем финан</w:t>
      </w:r>
      <w:r w:rsidR="00407A76">
        <w:t>сирования в разрезе мероприятий</w:t>
      </w:r>
      <w:r w:rsidR="00407A76" w:rsidRPr="00407A76">
        <w:t xml:space="preserve"> п</w:t>
      </w:r>
      <w:r w:rsidR="00407A76">
        <w:t xml:space="preserve">о годам </w:t>
      </w:r>
      <w:r>
        <w:t>(руб.)</w:t>
      </w:r>
    </w:p>
    <w:p w:rsidR="00E85084" w:rsidRDefault="00E85084" w:rsidP="00421BF5">
      <w:pPr>
        <w:pStyle w:val="ConsPlusNormal"/>
        <w:ind w:firstLine="709"/>
        <w:jc w:val="both"/>
      </w:pPr>
    </w:p>
    <w:tbl>
      <w:tblPr>
        <w:tblW w:w="15672" w:type="dxa"/>
        <w:tblInd w:w="-572" w:type="dxa"/>
        <w:tblLook w:val="04A0" w:firstRow="1" w:lastRow="0" w:firstColumn="1" w:lastColumn="0" w:noHBand="0" w:noVBand="1"/>
      </w:tblPr>
      <w:tblGrid>
        <w:gridCol w:w="513"/>
        <w:gridCol w:w="5016"/>
        <w:gridCol w:w="1484"/>
        <w:gridCol w:w="1417"/>
        <w:gridCol w:w="1493"/>
        <w:gridCol w:w="1418"/>
        <w:gridCol w:w="1417"/>
        <w:gridCol w:w="1417"/>
        <w:gridCol w:w="1481"/>
        <w:gridCol w:w="16"/>
      </w:tblGrid>
      <w:tr w:rsidR="004D0536" w:rsidRPr="00407A76" w:rsidTr="005F3E6F">
        <w:trPr>
          <w:trHeight w:val="7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D01A34" w:rsidRDefault="00407A76" w:rsidP="00407A7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1A34">
              <w:rPr>
                <w:rFonts w:eastAsia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D01A34" w:rsidRDefault="00407A76" w:rsidP="00407A7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1A34">
              <w:rPr>
                <w:rFonts w:eastAsia="Times New Roman"/>
                <w:color w:val="000000"/>
                <w:sz w:val="22"/>
                <w:szCs w:val="22"/>
              </w:rPr>
              <w:t xml:space="preserve">Наименование мероприятия  </w:t>
            </w:r>
          </w:p>
        </w:tc>
        <w:tc>
          <w:tcPr>
            <w:tcW w:w="101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A76" w:rsidRPr="00D01A34" w:rsidRDefault="00407A76" w:rsidP="00407A7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1A34">
              <w:rPr>
                <w:rFonts w:eastAsia="Times New Roman"/>
                <w:color w:val="000000"/>
                <w:sz w:val="22"/>
                <w:szCs w:val="22"/>
              </w:rPr>
              <w:t>Объем финансирования</w:t>
            </w:r>
          </w:p>
        </w:tc>
      </w:tr>
      <w:tr w:rsidR="001C6CA5" w:rsidRPr="00407A76" w:rsidTr="005F3E6F">
        <w:trPr>
          <w:gridAfter w:val="1"/>
          <w:wAfter w:w="16" w:type="dxa"/>
          <w:trHeight w:val="7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A76" w:rsidRPr="00407A76" w:rsidRDefault="00407A76" w:rsidP="00407A7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5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A76" w:rsidRPr="00407A76" w:rsidRDefault="00407A76" w:rsidP="00407A7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D01A34" w:rsidRDefault="00407A76" w:rsidP="00407A7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1A34">
              <w:rPr>
                <w:rFonts w:eastAsia="Times New Roman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D01A34" w:rsidRDefault="00407A76" w:rsidP="00407A7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1A34">
              <w:rPr>
                <w:rFonts w:eastAsia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D01A34" w:rsidRDefault="00407A76" w:rsidP="00407A7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1A34">
              <w:rPr>
                <w:rFonts w:eastAsia="Times New Roman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D01A34" w:rsidRDefault="00407A76" w:rsidP="00407A7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1A34">
              <w:rPr>
                <w:rFonts w:eastAsia="Times New Roman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D01A34" w:rsidRDefault="00407A76" w:rsidP="00407A7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1A34">
              <w:rPr>
                <w:rFonts w:eastAsia="Times New Roman"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D01A34" w:rsidRDefault="00407A76" w:rsidP="00407A7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1A34">
              <w:rPr>
                <w:rFonts w:eastAsia="Times New Roman"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D01A34" w:rsidRDefault="00407A76" w:rsidP="00407A76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D01A34">
              <w:rPr>
                <w:rFonts w:eastAsia="Times New Roman"/>
                <w:color w:val="000000"/>
                <w:sz w:val="22"/>
                <w:szCs w:val="22"/>
              </w:rPr>
              <w:t>2030</w:t>
            </w:r>
          </w:p>
        </w:tc>
      </w:tr>
      <w:tr w:rsidR="001C6CA5" w:rsidRPr="00CD2C5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CD2C5F" w:rsidRDefault="00407A76" w:rsidP="00407A76">
            <w:pPr>
              <w:jc w:val="center"/>
              <w:rPr>
                <w:rFonts w:eastAsia="Times New Roman"/>
                <w:color w:val="000000"/>
                <w:sz w:val="12"/>
                <w:szCs w:val="12"/>
              </w:rPr>
            </w:pPr>
            <w:r w:rsidRPr="00CD2C5F">
              <w:rPr>
                <w:rFonts w:eastAsia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CD2C5F" w:rsidRDefault="00407A76" w:rsidP="00407A76">
            <w:pPr>
              <w:jc w:val="center"/>
              <w:rPr>
                <w:rFonts w:eastAsia="Times New Roman"/>
                <w:color w:val="000000"/>
                <w:sz w:val="12"/>
                <w:szCs w:val="12"/>
              </w:rPr>
            </w:pPr>
            <w:r w:rsidRPr="00CD2C5F">
              <w:rPr>
                <w:rFonts w:eastAsia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CD2C5F" w:rsidRDefault="00407A76" w:rsidP="00407A76">
            <w:pPr>
              <w:jc w:val="center"/>
              <w:rPr>
                <w:rFonts w:eastAsia="Times New Roman"/>
                <w:color w:val="000000"/>
                <w:sz w:val="12"/>
                <w:szCs w:val="12"/>
              </w:rPr>
            </w:pPr>
            <w:r w:rsidRPr="00CD2C5F">
              <w:rPr>
                <w:rFonts w:eastAsia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CD2C5F" w:rsidRDefault="00407A76" w:rsidP="00407A76">
            <w:pPr>
              <w:jc w:val="center"/>
              <w:rPr>
                <w:rFonts w:eastAsia="Times New Roman"/>
                <w:color w:val="000000"/>
                <w:sz w:val="12"/>
                <w:szCs w:val="12"/>
              </w:rPr>
            </w:pPr>
            <w:r w:rsidRPr="00CD2C5F">
              <w:rPr>
                <w:rFonts w:eastAsia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CD2C5F" w:rsidRDefault="00407A76" w:rsidP="00407A76">
            <w:pPr>
              <w:jc w:val="center"/>
              <w:rPr>
                <w:rFonts w:eastAsia="Times New Roman"/>
                <w:color w:val="000000"/>
                <w:sz w:val="12"/>
                <w:szCs w:val="12"/>
              </w:rPr>
            </w:pPr>
            <w:r w:rsidRPr="00CD2C5F">
              <w:rPr>
                <w:rFonts w:eastAsia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CD2C5F" w:rsidRDefault="00407A76" w:rsidP="00407A76">
            <w:pPr>
              <w:jc w:val="center"/>
              <w:rPr>
                <w:rFonts w:eastAsia="Times New Roman"/>
                <w:color w:val="000000"/>
                <w:sz w:val="12"/>
                <w:szCs w:val="12"/>
              </w:rPr>
            </w:pPr>
            <w:r w:rsidRPr="00CD2C5F">
              <w:rPr>
                <w:rFonts w:eastAsia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CD2C5F" w:rsidRDefault="00407A76" w:rsidP="00407A76">
            <w:pPr>
              <w:jc w:val="center"/>
              <w:rPr>
                <w:rFonts w:eastAsia="Times New Roman"/>
                <w:color w:val="000000"/>
                <w:sz w:val="12"/>
                <w:szCs w:val="12"/>
              </w:rPr>
            </w:pPr>
            <w:r w:rsidRPr="00CD2C5F">
              <w:rPr>
                <w:rFonts w:eastAsia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CD2C5F" w:rsidRDefault="00407A76" w:rsidP="00407A76">
            <w:pPr>
              <w:jc w:val="center"/>
              <w:rPr>
                <w:rFonts w:eastAsia="Times New Roman"/>
                <w:color w:val="000000"/>
                <w:sz w:val="12"/>
                <w:szCs w:val="12"/>
              </w:rPr>
            </w:pPr>
            <w:r w:rsidRPr="00CD2C5F">
              <w:rPr>
                <w:rFonts w:eastAsia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CD2C5F" w:rsidRDefault="00407A76" w:rsidP="00407A76">
            <w:pPr>
              <w:jc w:val="center"/>
              <w:rPr>
                <w:rFonts w:eastAsia="Times New Roman"/>
                <w:color w:val="000000"/>
                <w:sz w:val="12"/>
                <w:szCs w:val="12"/>
              </w:rPr>
            </w:pPr>
            <w:r w:rsidRPr="00CD2C5F">
              <w:rPr>
                <w:rFonts w:eastAsia="Times New Roman"/>
                <w:color w:val="000000"/>
                <w:sz w:val="12"/>
                <w:szCs w:val="12"/>
              </w:rPr>
              <w:t>9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407A76" w:rsidP="00407A7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Капитальный ремонт котельной №2 в пгт</w:t>
            </w:r>
            <w:bookmarkStart w:id="0" w:name="_GoBack"/>
            <w:bookmarkEnd w:id="0"/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. Терней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1C6CA5" w:rsidP="00407A7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Электротехнические</w:t>
            </w:r>
            <w:r w:rsidR="00407A76" w:rsidRPr="005F3E6F">
              <w:rPr>
                <w:rFonts w:eastAsia="Times New Roman"/>
                <w:color w:val="000000"/>
                <w:sz w:val="20"/>
                <w:szCs w:val="20"/>
              </w:rPr>
              <w:t xml:space="preserve"> работы котельной №2 в пгт. Терней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407A76" w:rsidP="00407A7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Капитальный ремонт котельной №9 в пгт. Терней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1C6CA5" w:rsidP="00407A7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Электротехнические</w:t>
            </w:r>
            <w:r w:rsidR="00407A76" w:rsidRPr="005F3E6F">
              <w:rPr>
                <w:rFonts w:eastAsia="Times New Roman"/>
                <w:color w:val="000000"/>
                <w:sz w:val="20"/>
                <w:szCs w:val="20"/>
              </w:rPr>
              <w:t xml:space="preserve"> работы котельной №9 в пгт. Терней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407A76" w:rsidP="00407A7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Капитальный ремонт котельной №7 в пгт. Терней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1 424 088,14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842 776,94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407A76" w:rsidP="00407A7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Ремонт теплотрассы котельной №7 от ТК 2 до жилого дома по ул. Юбилейная 1Б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842 776,94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407A76" w:rsidP="00407A7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Ремонт теплотрассы котельной №7 от ТК 2 до жилого дома по ул. Юбилейная 2А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842 776,94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407A76" w:rsidP="00407A7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Ремонт кровли котельной №7 пгт. Терней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581 311,20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1C6CA5" w:rsidP="00407A7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Электротехнические</w:t>
            </w:r>
            <w:r w:rsidR="00407A76" w:rsidRPr="005F3E6F">
              <w:rPr>
                <w:rFonts w:eastAsia="Times New Roman"/>
                <w:color w:val="000000"/>
                <w:sz w:val="20"/>
                <w:szCs w:val="20"/>
              </w:rPr>
              <w:t xml:space="preserve"> работы котельной №7 в пгт. Терней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1C6CA5" w:rsidP="00407A7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Капитальный</w:t>
            </w:r>
            <w:r w:rsidR="00407A76"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ремонт котельной №6 в пгт. Терней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686 013,60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407A76" w:rsidP="00407A7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Ремонт кровли котельной №6 пгт. Терней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686 013,60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1C6CA5" w:rsidP="00407A7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Электротехнические</w:t>
            </w:r>
            <w:r w:rsidR="00407A76" w:rsidRPr="005F3E6F">
              <w:rPr>
                <w:rFonts w:eastAsia="Times New Roman"/>
                <w:color w:val="000000"/>
                <w:sz w:val="20"/>
                <w:szCs w:val="20"/>
              </w:rPr>
              <w:t xml:space="preserve"> работы котельной №6 в пгт. Терней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1C6CA5" w:rsidP="00407A7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Капитальный</w:t>
            </w:r>
            <w:r w:rsidR="00407A76"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ремонт котельной №5 в пгт. Терней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1C6CA5" w:rsidP="00407A7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Электротехнические</w:t>
            </w:r>
            <w:r w:rsidR="00407A76" w:rsidRPr="005F3E6F">
              <w:rPr>
                <w:rFonts w:eastAsia="Times New Roman"/>
                <w:color w:val="000000"/>
                <w:sz w:val="20"/>
                <w:szCs w:val="20"/>
              </w:rPr>
              <w:t xml:space="preserve"> работы котельной №5 в пгт. Терней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500 000,00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407A76" w:rsidP="00407A7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Проведение экспертизы о достоверности сметной стоимости объектов </w:t>
            </w:r>
            <w:r w:rsidR="001C6CA5"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коммунальной</w:t>
            </w:r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инфраструктуры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407A76" w:rsidP="00407A7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Резерв по подготовке к отопительному сезону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407A76" w:rsidP="00407A7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Ремонт кровли на здании ДЭС с. Максимовка Тернейского муниципального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439 674,40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C6CA5" w:rsidRPr="005F3E6F" w:rsidTr="005F3E6F">
        <w:trPr>
          <w:gridAfter w:val="1"/>
          <w:wAfter w:w="16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76" w:rsidRPr="005F3E6F" w:rsidRDefault="00407A76" w:rsidP="00A116D5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Установка ливневых канализаций на объектах ДЭС в с. Амгу, с. Малая</w:t>
            </w:r>
            <w:r w:rsidR="00A116D5"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  <w:proofErr w:type="spellStart"/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Кема</w:t>
            </w:r>
            <w:proofErr w:type="spellEnd"/>
            <w:r w:rsidRPr="005F3E6F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Тернейского муниципального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527 000,00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C38B9" w:rsidRPr="005F3E6F" w:rsidTr="005F3E6F">
        <w:trPr>
          <w:gridAfter w:val="1"/>
          <w:wAfter w:w="16" w:type="dxa"/>
          <w:trHeight w:val="7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A76" w:rsidRPr="005F3E6F" w:rsidRDefault="00407A76" w:rsidP="005F3E6F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</w:t>
            </w:r>
            <w:r w:rsid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того</w:t>
            </w: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2 451 088,14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1 782 451,34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2 213 013,60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76" w:rsidRPr="005F3E6F" w:rsidRDefault="00407A76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AB2E8D" w:rsidRPr="005F3E6F" w:rsidTr="005F3E6F">
        <w:trPr>
          <w:trHeight w:val="70"/>
        </w:trPr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E8D" w:rsidRPr="005F3E6F" w:rsidRDefault="005F3E6F" w:rsidP="005F3E6F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Итого по Программе: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E8D" w:rsidRPr="005F3E6F" w:rsidRDefault="00AB2E8D" w:rsidP="00407A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F3E6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10 446 553,08</w:t>
            </w:r>
          </w:p>
        </w:tc>
      </w:tr>
    </w:tbl>
    <w:p w:rsidR="00E17F1E" w:rsidRPr="005F3E6F" w:rsidRDefault="00E17F1E" w:rsidP="008C38B9">
      <w:pPr>
        <w:pStyle w:val="ConsPlusNormal"/>
        <w:jc w:val="both"/>
        <w:rPr>
          <w:sz w:val="20"/>
          <w:szCs w:val="20"/>
        </w:rPr>
      </w:pPr>
    </w:p>
    <w:sectPr w:rsidR="00E17F1E" w:rsidRPr="005F3E6F" w:rsidSect="00FB7EB3">
      <w:pgSz w:w="16838" w:h="11906" w:orient="landscape"/>
      <w:pgMar w:top="1134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15"/>
    <w:rsid w:val="00002414"/>
    <w:rsid w:val="000055EB"/>
    <w:rsid w:val="000239B0"/>
    <w:rsid w:val="00062813"/>
    <w:rsid w:val="0008397D"/>
    <w:rsid w:val="00085628"/>
    <w:rsid w:val="000A76E7"/>
    <w:rsid w:val="000D66A8"/>
    <w:rsid w:val="00105276"/>
    <w:rsid w:val="00125265"/>
    <w:rsid w:val="0013119D"/>
    <w:rsid w:val="0015747C"/>
    <w:rsid w:val="00172E1F"/>
    <w:rsid w:val="00175BF2"/>
    <w:rsid w:val="001C6CA5"/>
    <w:rsid w:val="001F77DC"/>
    <w:rsid w:val="00231485"/>
    <w:rsid w:val="002D493B"/>
    <w:rsid w:val="002F0254"/>
    <w:rsid w:val="00330A18"/>
    <w:rsid w:val="00350A61"/>
    <w:rsid w:val="00357084"/>
    <w:rsid w:val="003715C2"/>
    <w:rsid w:val="003965F6"/>
    <w:rsid w:val="003B3859"/>
    <w:rsid w:val="003B46DD"/>
    <w:rsid w:val="003D31EA"/>
    <w:rsid w:val="00407A76"/>
    <w:rsid w:val="00421BF5"/>
    <w:rsid w:val="00470D5E"/>
    <w:rsid w:val="004B66CA"/>
    <w:rsid w:val="004D0536"/>
    <w:rsid w:val="004F6931"/>
    <w:rsid w:val="004F7ED3"/>
    <w:rsid w:val="00502ADF"/>
    <w:rsid w:val="005063C5"/>
    <w:rsid w:val="005500E7"/>
    <w:rsid w:val="005601AA"/>
    <w:rsid w:val="0058038A"/>
    <w:rsid w:val="00585215"/>
    <w:rsid w:val="005B51FA"/>
    <w:rsid w:val="005F3E6F"/>
    <w:rsid w:val="005F7EC2"/>
    <w:rsid w:val="00611986"/>
    <w:rsid w:val="00611FA8"/>
    <w:rsid w:val="00616F4D"/>
    <w:rsid w:val="00626B5E"/>
    <w:rsid w:val="00630CCE"/>
    <w:rsid w:val="0064132B"/>
    <w:rsid w:val="006818EC"/>
    <w:rsid w:val="006F175A"/>
    <w:rsid w:val="00707C9F"/>
    <w:rsid w:val="00727AF2"/>
    <w:rsid w:val="00762054"/>
    <w:rsid w:val="007A71B6"/>
    <w:rsid w:val="007E5CC2"/>
    <w:rsid w:val="007E75D7"/>
    <w:rsid w:val="007F4144"/>
    <w:rsid w:val="0081684A"/>
    <w:rsid w:val="008260BD"/>
    <w:rsid w:val="00842192"/>
    <w:rsid w:val="00885BDE"/>
    <w:rsid w:val="008A2F50"/>
    <w:rsid w:val="008C0331"/>
    <w:rsid w:val="008C2D4D"/>
    <w:rsid w:val="008C38B9"/>
    <w:rsid w:val="00912C0E"/>
    <w:rsid w:val="009171A1"/>
    <w:rsid w:val="0092223E"/>
    <w:rsid w:val="00946CD8"/>
    <w:rsid w:val="00947AF4"/>
    <w:rsid w:val="00971655"/>
    <w:rsid w:val="009800F4"/>
    <w:rsid w:val="00985F1B"/>
    <w:rsid w:val="00991515"/>
    <w:rsid w:val="00994F63"/>
    <w:rsid w:val="009A0816"/>
    <w:rsid w:val="009B10E0"/>
    <w:rsid w:val="00A116D5"/>
    <w:rsid w:val="00A1482D"/>
    <w:rsid w:val="00A4191D"/>
    <w:rsid w:val="00A61F00"/>
    <w:rsid w:val="00A956C3"/>
    <w:rsid w:val="00AA14E8"/>
    <w:rsid w:val="00AB2E84"/>
    <w:rsid w:val="00AB2E8D"/>
    <w:rsid w:val="00AC2385"/>
    <w:rsid w:val="00B12434"/>
    <w:rsid w:val="00B27A16"/>
    <w:rsid w:val="00B37AE4"/>
    <w:rsid w:val="00B924E4"/>
    <w:rsid w:val="00BD5DBF"/>
    <w:rsid w:val="00C15556"/>
    <w:rsid w:val="00C315E0"/>
    <w:rsid w:val="00C3185E"/>
    <w:rsid w:val="00C331AE"/>
    <w:rsid w:val="00C62594"/>
    <w:rsid w:val="00C72E81"/>
    <w:rsid w:val="00C8779C"/>
    <w:rsid w:val="00C90E8F"/>
    <w:rsid w:val="00C91078"/>
    <w:rsid w:val="00C92514"/>
    <w:rsid w:val="00CB0229"/>
    <w:rsid w:val="00CC5780"/>
    <w:rsid w:val="00CD2C5F"/>
    <w:rsid w:val="00CD3A32"/>
    <w:rsid w:val="00D01A34"/>
    <w:rsid w:val="00D04EDE"/>
    <w:rsid w:val="00D050DC"/>
    <w:rsid w:val="00D34D26"/>
    <w:rsid w:val="00D35B8B"/>
    <w:rsid w:val="00D4248C"/>
    <w:rsid w:val="00D67589"/>
    <w:rsid w:val="00D90EB1"/>
    <w:rsid w:val="00DA2134"/>
    <w:rsid w:val="00DE5433"/>
    <w:rsid w:val="00E03E3D"/>
    <w:rsid w:val="00E17F1E"/>
    <w:rsid w:val="00E56B78"/>
    <w:rsid w:val="00E611F6"/>
    <w:rsid w:val="00E666C2"/>
    <w:rsid w:val="00E80579"/>
    <w:rsid w:val="00E85084"/>
    <w:rsid w:val="00EC2414"/>
    <w:rsid w:val="00ED4BC3"/>
    <w:rsid w:val="00F03F8A"/>
    <w:rsid w:val="00F316CC"/>
    <w:rsid w:val="00F31C77"/>
    <w:rsid w:val="00F573D9"/>
    <w:rsid w:val="00F866DC"/>
    <w:rsid w:val="00FB7EB3"/>
    <w:rsid w:val="00FC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1CC8"/>
  <w15:chartTrackingRefBased/>
  <w15:docId w15:val="{5AF4F906-0488-40AE-896C-FC1C74BD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91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 Знак Знак"/>
    <w:basedOn w:val="a"/>
    <w:link w:val="1"/>
    <w:rsid w:val="008A2F50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3"/>
    <w:rsid w:val="008A2F50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Normal">
    <w:name w:val="ConsPlusNormal"/>
    <w:rsid w:val="008C0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Tarasova</cp:lastModifiedBy>
  <cp:revision>27</cp:revision>
  <dcterms:created xsi:type="dcterms:W3CDTF">2023-07-12T03:15:00Z</dcterms:created>
  <dcterms:modified xsi:type="dcterms:W3CDTF">2023-07-13T04:14:00Z</dcterms:modified>
</cp:coreProperties>
</file>