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4" w:name="_GoBack"/>
      <w:bookmarkEnd w:id="4"/>
      <w:r>
        <w:rPr>
          <w:b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2587625</wp:posOffset>
            </wp:positionH>
            <wp:positionV relativeFrom="paragraph">
              <wp:posOffset>-149860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ind w:right="10"/>
        <w:jc w:val="center"/>
        <w:rPr>
          <w:b/>
          <w:sz w:val="22"/>
        </w:rPr>
      </w:pPr>
    </w:p>
    <w:p>
      <w:pPr>
        <w:shd w:val="clear" w:color="auto" w:fill="FFFFFF"/>
        <w:ind w:right="10"/>
        <w:jc w:val="center"/>
        <w:rPr>
          <w:b/>
          <w:sz w:val="22"/>
        </w:rPr>
      </w:pPr>
    </w:p>
    <w:p>
      <w:pPr>
        <w:shd w:val="clear" w:color="auto" w:fill="FFFFFF"/>
        <w:ind w:right="10"/>
        <w:jc w:val="center"/>
        <w:rPr>
          <w:b/>
          <w:sz w:val="22"/>
        </w:rPr>
      </w:pPr>
    </w:p>
    <w:p>
      <w:pPr>
        <w:shd w:val="clear" w:color="auto" w:fill="FFFFFF"/>
        <w:ind w:right="10"/>
        <w:jc w:val="center"/>
        <w:rPr>
          <w:b/>
          <w:sz w:val="22"/>
        </w:rPr>
      </w:pPr>
    </w:p>
    <w:p>
      <w:pPr>
        <w:shd w:val="clear" w:color="auto" w:fill="FFFFFF"/>
        <w:ind w:right="10"/>
        <w:rPr>
          <w:b/>
          <w:sz w:val="22"/>
        </w:rPr>
      </w:pPr>
    </w:p>
    <w:p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</w:t>
      </w:r>
    </w:p>
    <w:p>
      <w:pPr>
        <w:shd w:val="clear" w:color="auto" w:fill="FFFFFF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ТЕРНЕЙСКОГО МУНИЦИПАЛЬНОГО ОКРУГА</w:t>
      </w:r>
    </w:p>
    <w:p>
      <w:pPr>
        <w:shd w:val="clear" w:color="auto" w:fill="FFFFFF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ПРИМОРСКОГО КРАЯ</w:t>
      </w:r>
    </w:p>
    <w:p>
      <w:pPr>
        <w:rPr>
          <w:sz w:val="26"/>
          <w:szCs w:val="26"/>
        </w:rPr>
      </w:pPr>
    </w:p>
    <w:p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>
      <w:pPr>
        <w:jc w:val="center"/>
        <w:outlineLvl w:val="0"/>
        <w:rPr>
          <w:b/>
          <w:sz w:val="26"/>
          <w:szCs w:val="26"/>
        </w:rPr>
      </w:pPr>
    </w:p>
    <w:p>
      <w:pPr>
        <w:ind w:right="26"/>
        <w:outlineLvl w:val="0"/>
        <w:rPr>
          <w:sz w:val="26"/>
          <w:szCs w:val="26"/>
        </w:rPr>
      </w:pPr>
      <w:r>
        <w:rPr>
          <w:sz w:val="26"/>
          <w:szCs w:val="26"/>
        </w:rPr>
        <w:t>26 февраля 2024 года                           пгт. Терней                                                    № 191</w:t>
      </w:r>
    </w:p>
    <w:p>
      <w:pPr>
        <w:rPr>
          <w:b/>
          <w:sz w:val="26"/>
          <w:szCs w:val="26"/>
        </w:rPr>
      </w:pPr>
    </w:p>
    <w:tbl>
      <w:tblPr>
        <w:tblStyle w:val="3"/>
        <w:tblW w:w="0" w:type="auto"/>
        <w:tblInd w:w="-14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atLeast"/>
        </w:trPr>
        <w:tc>
          <w:tcPr>
            <w:tcW w:w="9524" w:type="dxa"/>
            <w:shd w:val="clear" w:color="auto" w:fill="auto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Плана проведения экспертизы муниципальных </w:t>
            </w:r>
          </w:p>
          <w:p>
            <w:pPr>
              <w:pStyle w:val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нормативных правовых актов Тернейского муниципального округа, </w:t>
            </w:r>
          </w:p>
          <w:p>
            <w:pPr>
              <w:pStyle w:val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затрагивающих вопросы предпринимательской и иной </w:t>
            </w:r>
          </w:p>
          <w:p>
            <w:pPr>
              <w:pStyle w:val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экономической деятельности, на 2024 год </w:t>
            </w:r>
          </w:p>
          <w:p>
            <w:pPr>
              <w:pStyle w:val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pStyle w:val="6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>
            <w:pPr>
              <w:pStyle w:val="6"/>
              <w:tabs>
                <w:tab w:val="left" w:pos="449"/>
              </w:tabs>
              <w:ind w:firstLine="459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В соответствии с Порядком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деятельности, в администрации Тернейского муниципального округа,  утвержденным постановлением администрации Тернейского муниципального округа от 16.06.2021 № 508, руководствуясь Уставом Тернейского муниципального округа, администрация Тернейского муниципального округа</w:t>
            </w:r>
          </w:p>
          <w:p>
            <w:pPr>
              <w:pStyle w:val="7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pStyle w:val="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ПОСТАНОВЛЯЕТ:</w:t>
            </w:r>
          </w:p>
          <w:p>
            <w:pPr>
              <w:pStyle w:val="7"/>
              <w:spacing w:before="200"/>
              <w:ind w:firstLine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Утвердить прилагаемый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  <w:t>План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проведения экспертизы муниципальных нормативных правовых актов Тернейского муниципального округа, затрагивающих вопросы предпринимательской и иной экономической деятельности, на 2024 год (далее- План).</w:t>
            </w:r>
          </w:p>
          <w:p>
            <w:pPr>
              <w:pStyle w:val="7"/>
              <w:ind w:firstLine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 За проведение экспертизы в соответствии с Планом назначить ответственным отдел экономики и планирования администрации Тернейского муниципального округа (Науменко).</w:t>
            </w:r>
          </w:p>
          <w:p>
            <w:pPr>
              <w:tabs>
                <w:tab w:val="left" w:pos="0"/>
                <w:tab w:val="left" w:pos="9498"/>
              </w:tabs>
              <w:ind w:right="15" w:firstLine="426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3. МКУ «Хозяйственное управление Тернейского муниципального округа» (Василенко) разместить настоящее постановление на официальном сайте администрации Тернейского муниципального округа в информационно- телекоммуникационной сети Интернет.</w:t>
            </w:r>
          </w:p>
          <w:p>
            <w:pPr>
              <w:tabs>
                <w:tab w:val="left" w:pos="0"/>
                <w:tab w:val="left" w:pos="417"/>
                <w:tab w:val="left" w:pos="9498"/>
              </w:tabs>
              <w:ind w:right="15" w:firstLine="426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4. Настоящее постановление вступает в силу со дня его подписания.</w:t>
            </w:r>
          </w:p>
          <w:p>
            <w:pPr>
              <w:pStyle w:val="7"/>
              <w:ind w:firstLine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pStyle w:val="7"/>
              <w:ind w:firstLine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pStyle w:val="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Тернейского муниципального округа                                               С.Н. Наумкин</w:t>
            </w:r>
          </w:p>
          <w:p>
            <w:pPr>
              <w:pStyle w:val="7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pStyle w:val="7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pStyle w:val="7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pStyle w:val="7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pStyle w:val="7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pStyle w:val="7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pStyle w:val="7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pStyle w:val="7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5"/>
              <w:tblW w:w="0" w:type="auto"/>
              <w:tblInd w:w="513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16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166" w:type="dxa"/>
                </w:tcPr>
                <w:p>
                  <w:pPr>
                    <w:pStyle w:val="7"/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</w:t>
                  </w:r>
                </w:p>
                <w:p>
                  <w:pPr>
                    <w:pStyle w:val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постановлением администрации Тернейского муниципального округа от 26.02.2024 № 191</w:t>
                  </w:r>
                </w:p>
              </w:tc>
            </w:tr>
          </w:tbl>
          <w:p>
            <w:pPr>
              <w:pStyle w:val="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pStyle w:val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План </w:t>
            </w:r>
          </w:p>
          <w:p>
            <w:pPr>
              <w:pStyle w:val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проведения экспертизы муниципальных нормативных правовых актов Тернейского муниципального округа, затрагивающих вопросы предпринимательской и иной экономической деятельности, </w:t>
            </w:r>
          </w:p>
          <w:p>
            <w:pPr>
              <w:pStyle w:val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2024 год </w:t>
            </w:r>
          </w:p>
          <w:tbl>
            <w:tblPr>
              <w:tblStyle w:val="5"/>
              <w:tblW w:w="952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40"/>
              <w:gridCol w:w="3317"/>
              <w:gridCol w:w="1794"/>
              <w:gridCol w:w="2235"/>
              <w:gridCol w:w="16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40" w:type="dxa"/>
                </w:tcPr>
                <w:p>
                  <w:pPr>
                    <w:pStyle w:val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>
                  <w:pPr>
                    <w:pStyle w:val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317" w:type="dxa"/>
                </w:tcPr>
                <w:p>
                  <w:pPr>
                    <w:pStyle w:val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Реквизиты правового акта (вид и наименование МНПА, дата принятия и вступления его в силу, номер, редакция)</w:t>
                  </w:r>
                </w:p>
              </w:tc>
              <w:tc>
                <w:tcPr>
                  <w:tcW w:w="1794" w:type="dxa"/>
                </w:tcPr>
                <w:p>
                  <w:pPr>
                    <w:pStyle w:val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заявителя</w:t>
                  </w:r>
                </w:p>
              </w:tc>
              <w:tc>
                <w:tcPr>
                  <w:tcW w:w="2235" w:type="dxa"/>
                </w:tcPr>
                <w:p>
                  <w:pPr>
                    <w:pStyle w:val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разработчика</w:t>
                  </w:r>
                </w:p>
              </w:tc>
              <w:tc>
                <w:tcPr>
                  <w:tcW w:w="1641" w:type="dxa"/>
                </w:tcPr>
                <w:p>
                  <w:pPr>
                    <w:pStyle w:val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Срок проведения экспертизы правового акта (начало-окончание, месяц, год)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40" w:type="dxa"/>
                </w:tcPr>
                <w:p>
                  <w:pPr>
                    <w:pStyle w:val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317" w:type="dxa"/>
                </w:tcPr>
                <w:p>
                  <w:pPr>
                    <w:pStyle w:val="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Постановление администрации Тернейского муниципального района от 26.03.2020 № 173 «Об утверждении административного регламента администрации Тернейского муниципального района по предоставлению муниципальной услуги «Выдача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сервитутов»» (в ред. пост. № 624 от 08.07.2021, № 125 от 07.02.2023)</w:t>
                  </w:r>
                </w:p>
              </w:tc>
              <w:tc>
                <w:tcPr>
                  <w:tcW w:w="1794" w:type="dxa"/>
                </w:tcPr>
                <w:p>
                  <w:pPr>
                    <w:pStyle w:val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 экономики и планирования администрации Тернейского муниципального округа</w:t>
                  </w:r>
                </w:p>
              </w:tc>
              <w:tc>
                <w:tcPr>
                  <w:tcW w:w="2235" w:type="dxa"/>
                </w:tcPr>
                <w:p>
                  <w:pPr>
                    <w:pStyle w:val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 земельных и имущественных отношений администрации Тернейского муниципального округа</w:t>
                  </w:r>
                </w:p>
              </w:tc>
              <w:tc>
                <w:tcPr>
                  <w:tcW w:w="1641" w:type="dxa"/>
                </w:tcPr>
                <w:p>
                  <w:pPr>
                    <w:pStyle w:val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Март 2024- июнь 2024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40" w:type="dxa"/>
                </w:tcPr>
                <w:p>
                  <w:pPr>
                    <w:pStyle w:val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317" w:type="dxa"/>
                </w:tcPr>
                <w:p>
                  <w:pPr>
                    <w:pStyle w:val="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Постановление администрации Тернейского муниципального округа от 23.07.2021 № 696 «Об утверждении административного регламента администрации Тернейского муниципального округа по предоставлению муниципальной услуги «Выдача разрешения на строительство»» (в ред. пост. № 1177 от 30.11.2022, № 175 от 13.02.2023) </w:t>
                  </w:r>
                </w:p>
              </w:tc>
              <w:tc>
                <w:tcPr>
                  <w:tcW w:w="1794" w:type="dxa"/>
                </w:tcPr>
                <w:p>
                  <w:pPr>
                    <w:pStyle w:val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 экономики и планирования администрации Тернейского муниципального округа</w:t>
                  </w:r>
                </w:p>
              </w:tc>
              <w:tc>
                <w:tcPr>
                  <w:tcW w:w="2235" w:type="dxa"/>
                </w:tcPr>
                <w:p>
                  <w:pPr>
                    <w:pStyle w:val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 градостроительства и архитектуры</w:t>
                  </w:r>
                </w:p>
                <w:p>
                  <w:pPr>
                    <w:pStyle w:val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администрации Тернейского муниципального округа</w:t>
                  </w:r>
                </w:p>
              </w:tc>
              <w:tc>
                <w:tcPr>
                  <w:tcW w:w="1641" w:type="dxa"/>
                </w:tcPr>
                <w:p>
                  <w:pPr>
                    <w:pStyle w:val="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Июль 2024 – ноябрь 2024</w:t>
                  </w:r>
                </w:p>
              </w:tc>
            </w:tr>
          </w:tbl>
          <w:p>
            <w:pPr>
              <w:pStyle w:val="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>
      <w:pPr>
        <w:pStyle w:val="8"/>
        <w:jc w:val="both"/>
        <w:rPr>
          <w:sz w:val="24"/>
          <w:szCs w:val="24"/>
        </w:rPr>
      </w:pPr>
      <w:bookmarkStart w:id="0" w:name="Par372"/>
      <w:bookmarkEnd w:id="0"/>
      <w:bookmarkStart w:id="1" w:name="Par204"/>
      <w:bookmarkEnd w:id="1"/>
      <w:bookmarkStart w:id="2" w:name="Par342"/>
      <w:bookmarkEnd w:id="2"/>
      <w:bookmarkStart w:id="3" w:name="Par572"/>
      <w:bookmarkEnd w:id="3"/>
    </w:p>
    <w:sectPr>
      <w:pgSz w:w="11906" w:h="16838"/>
      <w:pgMar w:top="454" w:right="851" w:bottom="454" w:left="153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ndale Mon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ndale Mono">
    <w:panose1 w:val="020B0509000000000004"/>
    <w:charset w:val="00"/>
    <w:family w:val="auto"/>
    <w:pitch w:val="default"/>
    <w:sig w:usb0="00000287" w:usb1="00000000" w:usb2="00000000" w:usb3="00000000" w:csb0="6000009F" w:csb1="DFD70000"/>
  </w:font>
  <w:font w:name="Calibri">
    <w:altName w:val="Trebuchet M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Trebuchet MS"/>
    <w:panose1 w:val="020F0502020204030204"/>
    <w:charset w:val="CC"/>
    <w:family w:val="swiss"/>
    <w:pitch w:val="default"/>
    <w:sig w:usb0="00000000" w:usb1="00000000" w:usb2="00000001" w:usb3="00000000" w:csb0="0000019F" w:csb1="00000000"/>
  </w:font>
  <w:font w:name="Calibri">
    <w:altName w:val="Trebuchet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CC"/>
    <w:family w:val="modern"/>
    <w:pitch w:val="default"/>
    <w:sig w:usb0="00007A87" w:usb1="80000000" w:usb2="00000008" w:usb3="00000000" w:csb0="400001FF" w:csb1="FFFF0000"/>
  </w:font>
  <w:font w:name="Segoe UI">
    <w:altName w:val="Noto Sans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Noto Sans">
    <w:panose1 w:val="020B0502040504020204"/>
    <w:charset w:val="00"/>
    <w:family w:val="auto"/>
    <w:pitch w:val="default"/>
    <w:sig w:usb0="E00002FF" w:usb1="4000201F" w:usb2="08000029" w:usb3="001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3EE"/>
    <w:rsid w:val="000106E3"/>
    <w:rsid w:val="000345F7"/>
    <w:rsid w:val="00137A13"/>
    <w:rsid w:val="001B3B3F"/>
    <w:rsid w:val="001F00B8"/>
    <w:rsid w:val="00433E23"/>
    <w:rsid w:val="0043425A"/>
    <w:rsid w:val="00440761"/>
    <w:rsid w:val="00450054"/>
    <w:rsid w:val="004526F9"/>
    <w:rsid w:val="00463129"/>
    <w:rsid w:val="004964CC"/>
    <w:rsid w:val="004A2C5F"/>
    <w:rsid w:val="00525FCA"/>
    <w:rsid w:val="00546B91"/>
    <w:rsid w:val="005A2BE7"/>
    <w:rsid w:val="005D5CCA"/>
    <w:rsid w:val="005F24B7"/>
    <w:rsid w:val="005F7D6A"/>
    <w:rsid w:val="0063156A"/>
    <w:rsid w:val="00657B3C"/>
    <w:rsid w:val="0067571A"/>
    <w:rsid w:val="00691DF4"/>
    <w:rsid w:val="006E00F2"/>
    <w:rsid w:val="00891A65"/>
    <w:rsid w:val="008949B4"/>
    <w:rsid w:val="00927F4C"/>
    <w:rsid w:val="009B10FE"/>
    <w:rsid w:val="009D10B4"/>
    <w:rsid w:val="00A14C3C"/>
    <w:rsid w:val="00A436F0"/>
    <w:rsid w:val="00A62DC4"/>
    <w:rsid w:val="00AB3A7E"/>
    <w:rsid w:val="00B27BA2"/>
    <w:rsid w:val="00B56210"/>
    <w:rsid w:val="00B65B38"/>
    <w:rsid w:val="00BB33EE"/>
    <w:rsid w:val="00C01AFA"/>
    <w:rsid w:val="00C461D2"/>
    <w:rsid w:val="00C5056E"/>
    <w:rsid w:val="00CB7F06"/>
    <w:rsid w:val="00CE2F43"/>
    <w:rsid w:val="00CF73F0"/>
    <w:rsid w:val="00D21F6A"/>
    <w:rsid w:val="00D2699C"/>
    <w:rsid w:val="00DB4ABB"/>
    <w:rsid w:val="00DE30D1"/>
    <w:rsid w:val="00E57DE2"/>
    <w:rsid w:val="00E87803"/>
    <w:rsid w:val="00F571E0"/>
    <w:rsid w:val="00F62445"/>
    <w:rsid w:val="5DBF02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rPr>
      <w:rFonts w:ascii="Segoe UI" w:hAnsi="Segoe UI" w:cs="Segoe UI"/>
      <w:sz w:val="18"/>
      <w:szCs w:val="18"/>
    </w:rPr>
  </w:style>
  <w:style w:type="table" w:styleId="5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ConsPlusTitle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b/>
      <w:bCs/>
      <w:sz w:val="20"/>
      <w:szCs w:val="20"/>
      <w:lang w:val="ru-RU" w:eastAsia="ru-RU" w:bidi="ar-SA"/>
    </w:rPr>
  </w:style>
  <w:style w:type="paragraph" w:customStyle="1" w:styleId="7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sz w:val="20"/>
      <w:szCs w:val="20"/>
      <w:lang w:val="ru-RU" w:eastAsia="ru-RU" w:bidi="ar-SA"/>
    </w:rPr>
  </w:style>
  <w:style w:type="paragraph" w:customStyle="1" w:styleId="8">
    <w:name w:val="ConsPlusNonforma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 w:eastAsiaTheme="minorEastAsia"/>
      <w:sz w:val="20"/>
      <w:szCs w:val="20"/>
      <w:lang w:val="ru-RU" w:eastAsia="ru-RU" w:bidi="ar-SA"/>
    </w:rPr>
  </w:style>
  <w:style w:type="character" w:customStyle="1" w:styleId="9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0">
    <w:name w:val="Основной текст (3)_"/>
    <w:link w:val="11"/>
    <w:qFormat/>
    <w:locked/>
    <w:uiPriority w:val="0"/>
    <w:rPr>
      <w:b/>
      <w:bCs/>
      <w:shd w:val="clear" w:color="auto" w:fill="FFFFFF"/>
    </w:rPr>
  </w:style>
  <w:style w:type="paragraph" w:customStyle="1" w:styleId="11">
    <w:name w:val="Основной текст (3)"/>
    <w:basedOn w:val="1"/>
    <w:link w:val="10"/>
    <w:qFormat/>
    <w:uiPriority w:val="0"/>
    <w:pPr>
      <w:widowControl w:val="0"/>
      <w:shd w:val="clear" w:color="auto" w:fill="FFFFFF"/>
      <w:spacing w:line="281" w:lineRule="exact"/>
      <w:jc w:val="right"/>
    </w:pPr>
    <w:rPr>
      <w:rFonts w:asciiTheme="minorHAnsi" w:hAnsiTheme="minorHAnsi" w:eastAsiaTheme="minorHAnsi" w:cstheme="minorBidi"/>
      <w:b/>
      <w:bCs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diakov.net</Company>
  <Pages>2</Pages>
  <Words>517</Words>
  <Characters>2952</Characters>
  <Lines>24</Lines>
  <Paragraphs>6</Paragraphs>
  <TotalTime>9</TotalTime>
  <ScaleCrop>false</ScaleCrop>
  <LinksUpToDate>false</LinksUpToDate>
  <CharactersWithSpaces>3463</CharactersWithSpaces>
  <Application>WPS Office_11.1.0.11664_F1E327BC-269C-435d-A152-05C5408002CA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2024-02-26T09:30:00Z</dcterms:created>
  <dc:creator>RePack by Diakov</dc:creator>
  <cp:lastModifiedBy>user</cp:lastModifiedBy>
  <cp:lastPrinted>2023-02-27T16:43:00Z</cp:lastPrinted>
  <dcterms:modified xsi:type="dcterms:W3CDTF">2024-03-11T16:13:07Z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