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A4" w:rsidRDefault="00697FA4" w:rsidP="00697FA4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188"/>
        <w:gridCol w:w="501"/>
        <w:gridCol w:w="2021"/>
        <w:gridCol w:w="4645"/>
      </w:tblGrid>
      <w:tr w:rsidR="00697FA4" w:rsidTr="007A78B3">
        <w:trPr>
          <w:cantSplit/>
        </w:trPr>
        <w:tc>
          <w:tcPr>
            <w:tcW w:w="4844" w:type="dxa"/>
            <w:gridSpan w:val="3"/>
          </w:tcPr>
          <w:p w:rsidR="00697FA4" w:rsidRDefault="00697FA4" w:rsidP="007A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ФИНАНСОВОЕ УПРАВЛЕНИЕ       </w:t>
            </w:r>
          </w:p>
          <w:p w:rsidR="00697FA4" w:rsidRDefault="00697FA4" w:rsidP="007A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7FA4" w:rsidRDefault="00697FA4" w:rsidP="007A7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АДМИНИСТРАЦИИ ТЕРНЕЙСКОГО</w:t>
            </w:r>
          </w:p>
          <w:p w:rsidR="00697FA4" w:rsidRPr="00372D25" w:rsidRDefault="00697FA4" w:rsidP="007A7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4782" w:type="dxa"/>
            <w:vMerge w:val="restart"/>
            <w:hideMark/>
          </w:tcPr>
          <w:p w:rsidR="00697FA4" w:rsidRDefault="00697FA4" w:rsidP="007A78B3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</w:t>
            </w:r>
          </w:p>
          <w:p w:rsidR="00697FA4" w:rsidRDefault="00697FA4" w:rsidP="007A78B3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муниципального округа</w:t>
            </w:r>
          </w:p>
          <w:p w:rsidR="00697FA4" w:rsidRDefault="00697FA4" w:rsidP="007A78B3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Наумкину</w:t>
            </w:r>
          </w:p>
        </w:tc>
      </w:tr>
      <w:tr w:rsidR="00697FA4" w:rsidTr="007A78B3">
        <w:trPr>
          <w:cantSplit/>
          <w:trHeight w:val="1287"/>
        </w:trPr>
        <w:tc>
          <w:tcPr>
            <w:tcW w:w="4844" w:type="dxa"/>
            <w:gridSpan w:val="3"/>
            <w:hideMark/>
          </w:tcPr>
          <w:p w:rsidR="00697FA4" w:rsidRDefault="00697FA4" w:rsidP="007A78B3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ул. Ивановская 2, п. Терней, 692150</w:t>
            </w:r>
          </w:p>
          <w:p w:rsidR="00697FA4" w:rsidRDefault="00697FA4" w:rsidP="007A78B3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Тел: (42374) 31-4-93, 32-1-25, 31-4-92</w:t>
            </w:r>
          </w:p>
          <w:p w:rsidR="00697FA4" w:rsidRDefault="00697FA4" w:rsidP="007A78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Тел/факс: 31-5-57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finatmr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97FA4" w:rsidRDefault="00697FA4" w:rsidP="007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FA4" w:rsidTr="007A78B3"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FA4" w:rsidRDefault="00B16E9B" w:rsidP="00B1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501" w:type="dxa"/>
            <w:hideMark/>
          </w:tcPr>
          <w:p w:rsidR="00697FA4" w:rsidRDefault="00697FA4" w:rsidP="007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FA4" w:rsidRDefault="00697FA4" w:rsidP="007A78B3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</w:t>
            </w:r>
          </w:p>
        </w:tc>
        <w:tc>
          <w:tcPr>
            <w:tcW w:w="4782" w:type="dxa"/>
          </w:tcPr>
          <w:p w:rsidR="00697FA4" w:rsidRDefault="00697FA4" w:rsidP="007A78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FA4" w:rsidTr="007A78B3"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FA4" w:rsidRDefault="00697FA4" w:rsidP="007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hideMark/>
          </w:tcPr>
          <w:p w:rsidR="00697FA4" w:rsidRDefault="00697FA4" w:rsidP="007A78B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FA4" w:rsidRDefault="00697FA4" w:rsidP="007A78B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697FA4" w:rsidRDefault="00697FA4" w:rsidP="007A78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FA4" w:rsidRDefault="00697FA4" w:rsidP="00697FA4">
      <w:pPr>
        <w:rPr>
          <w:rFonts w:ascii="Times New Roman" w:hAnsi="Times New Roman" w:cs="Times New Roman"/>
        </w:rPr>
      </w:pPr>
    </w:p>
    <w:p w:rsidR="00697FA4" w:rsidRDefault="00697FA4" w:rsidP="00697FA4">
      <w:pPr>
        <w:rPr>
          <w:rFonts w:ascii="Times New Roman" w:hAnsi="Times New Roman" w:cs="Times New Roman"/>
        </w:rPr>
      </w:pPr>
    </w:p>
    <w:p w:rsidR="00697FA4" w:rsidRDefault="00697FA4" w:rsidP="00697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FA4" w:rsidRDefault="00697FA4" w:rsidP="00697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97FA4" w:rsidRDefault="00697FA4" w:rsidP="00697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финансового управления администрации</w:t>
      </w:r>
    </w:p>
    <w:p w:rsidR="00697FA4" w:rsidRDefault="00697FA4" w:rsidP="00697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 за 2022 год.</w:t>
      </w:r>
    </w:p>
    <w:p w:rsidR="00697FA4" w:rsidRDefault="00697FA4" w:rsidP="00697F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Начиная с 2021 года в межбюджетных отношениях с бюджетами бюджетной системы Российской федерации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учитывается как единый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A4" w:rsidRDefault="00637FB9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Финансовое управление администрации </w:t>
      </w:r>
      <w:proofErr w:type="spellStart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является функциональным органом администрации </w:t>
      </w:r>
      <w:proofErr w:type="spellStart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осуществляющим составление и организацию исполнения бюджета </w:t>
      </w:r>
      <w:proofErr w:type="spellStart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управление муниципальными финансами на территории </w:t>
      </w:r>
      <w:proofErr w:type="spellStart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обеспечивающим проведение единой финансовой политики на территории </w:t>
      </w:r>
      <w:proofErr w:type="spellStart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задачи, решаемые </w:t>
      </w:r>
      <w:r w:rsidR="00FF33A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в рамках намеченной бюджетной политики, проводимой в 202</w:t>
      </w:r>
      <w:r w:rsidR="00FF33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обеспечение условий для исполнения решения 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</w:t>
      </w:r>
      <w:r w:rsidR="00FF33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F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 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годов;</w:t>
      </w:r>
    </w:p>
    <w:p w:rsidR="00697FA4" w:rsidRDefault="00637FB9" w:rsidP="00637F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и прозрачности бюджета и бюджетного процесса в округе;</w:t>
      </w:r>
    </w:p>
    <w:p w:rsidR="00697FA4" w:rsidRDefault="00637FB9" w:rsidP="00637F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бездефицитного бюджета;</w:t>
      </w:r>
    </w:p>
    <w:p w:rsidR="00697FA4" w:rsidRDefault="00637FB9" w:rsidP="00637F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администрирования доходов бюджета;</w:t>
      </w:r>
    </w:p>
    <w:p w:rsidR="00697FA4" w:rsidRDefault="00637FB9" w:rsidP="00637F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роста расходов бюджета округа, не обеспеченных стабильными доходными источниками;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 от 23 декабря  2020 года № 206-р «О передаче бюджетных полномочий главного распорядителя бюджетных средств»  финансовому управлению  переданы полномочия главного распорядителя бюджетных средств -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 составлению, утверждению и ведению бюджетной росписи, распределению бюджетных ассигнований, лимитов бюджетных обязательств по подведомственным получателям бюджетных средств и исполнению соответствующей части бюджета, формированию бюджетной отчетности главного распорядителя бюджетных средств.</w:t>
      </w:r>
    </w:p>
    <w:p w:rsidR="004C7B80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20.07.2020 года «О порядке составление проекта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Приморского края на очередной финансовый год и плановый период» финансовым управлением подготовлен проект решения 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</w:t>
      </w:r>
      <w:r w:rsidR="007D73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D73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D73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Исполнение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202</w:t>
      </w:r>
      <w:r w:rsidR="007D73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организовано в соответствии с требованиями статьи 215.1 Бюджетного кодекса Российской Федерации,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от 29 сентября 2021 года «Об утверждении Положения о бюджетном устройстве и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муниципальном округе»,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от 24.12.202</w:t>
      </w:r>
      <w:r w:rsidR="007D7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D731A"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</w:t>
      </w:r>
      <w:r w:rsidR="007D73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на 202</w:t>
      </w:r>
      <w:r w:rsidR="007D73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D73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годы», в условиях кассового обслуживания  исполнения бюджета </w:t>
      </w:r>
      <w:r w:rsidR="00E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Федерального казначейства по Приморскому краю в системе электронного документооборота с применением электронной подписи на основании сводной бюджетной росписи, росписи главного распорядителя бюджетных средств и кассового плана.   </w:t>
      </w:r>
    </w:p>
    <w:p w:rsidR="00E158C0" w:rsidRDefault="00E158C0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2022 финансового года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 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корректировок в целях уточнения доходной и расходной части бюджета, налоговые и неналоговые доходы увеличены на 1</w:t>
      </w:r>
      <w:r w:rsidR="00D2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7 125,2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D2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безвозмездные поступления  147 283,7 </w:t>
      </w:r>
      <w:proofErr w:type="spellStart"/>
      <w:r w:rsidR="00D265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D2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исполнялся в условиях заключенного Соглашения о мерах по социально-экономическому развитию и оздоровлению муниципальных финансов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 министерством финансов Приморского края. Обязанность муниципального округа осуществить меры, в том числе по оценке эффективности налоговых льгот и пониженных ставок по налогам, обеспечение роста налога на доходы физических лиц в консолидированный бюджет Приморского края, недопущение роста недоимки по налогам, формирующим краевой бюджет, бюджет округа и т.д.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исполнения Соглашения в части увеличения налоговых и неналоговых доходов, проводилась работа с администраторами доходов бюджета, направленная на работу с должник</w:t>
      </w:r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неплательщиками, выполнена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предоставленных налоговых льгот и пониженных ставок. Ежеквартально формировалась отчетность по исполнению Соглашения с предоставлением в министерство финансов Приморского края.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47.1 Бюджетного кодекса Российской Федерации, постановления правительства Российской Федерации от 31.08.2016 № 868 «О порядке формирования и ведения перечня источников доходов Российской Федерации» финансовым управлением в течение 202</w:t>
      </w:r>
      <w:r w:rsidR="004C7B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 велась работа по формированию</w:t>
      </w:r>
      <w:r w:rsidR="004C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источников доходов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программном комплексе «Перечень и реестры источников доходов бюджетов».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D26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D2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 2022 год исполнен</w:t>
      </w:r>
      <w:r w:rsidR="006454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5499" w:rsidRDefault="00645499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доходной части на 100,4 %: плановые назначения</w:t>
      </w:r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923 168 </w:t>
      </w:r>
      <w:proofErr w:type="spellStart"/>
      <w:proofErr w:type="gramStart"/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proofErr w:type="gramEnd"/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исполнено 927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645499" w:rsidRDefault="00F340FB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расходной части на </w:t>
      </w:r>
      <w:r w:rsidR="00645499">
        <w:rPr>
          <w:rFonts w:ascii="Times New Roman" w:eastAsia="Times New Roman" w:hAnsi="Times New Roman" w:cs="Times New Roman"/>
          <w:sz w:val="28"/>
          <w:szCs w:val="28"/>
          <w:lang w:eastAsia="ru-RU"/>
        </w:rPr>
        <w:t>96,3</w:t>
      </w:r>
      <w:proofErr w:type="gramStart"/>
      <w:r w:rsidR="00645499">
        <w:rPr>
          <w:rFonts w:ascii="Times New Roman" w:eastAsia="Times New Roman" w:hAnsi="Times New Roman" w:cs="Times New Roman"/>
          <w:sz w:val="28"/>
          <w:szCs w:val="28"/>
          <w:lang w:eastAsia="ru-RU"/>
        </w:rPr>
        <w:t>%  :</w:t>
      </w:r>
      <w:proofErr w:type="gramEnd"/>
      <w:r w:rsidR="0064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назначения 943 997 </w:t>
      </w:r>
      <w:proofErr w:type="spellStart"/>
      <w:r w:rsidR="006454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64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исполнено 909 400 </w:t>
      </w:r>
      <w:proofErr w:type="spellStart"/>
      <w:r w:rsidR="006454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645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499" w:rsidRDefault="00645499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запланированном дефиците бюджета 19 980 </w:t>
      </w:r>
      <w:proofErr w:type="spellStart"/>
      <w:r w:rsidR="00F768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7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профицит составил 18 018 </w:t>
      </w:r>
      <w:proofErr w:type="spellStart"/>
      <w:r w:rsidR="00F768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7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C7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мобилизовано налоговых и неналоговых доходов   </w:t>
      </w:r>
      <w:r w:rsidR="00874C74">
        <w:rPr>
          <w:rFonts w:ascii="Times New Roman" w:eastAsia="Times New Roman" w:hAnsi="Times New Roman" w:cs="Times New Roman"/>
          <w:sz w:val="28"/>
          <w:szCs w:val="28"/>
          <w:lang w:eastAsia="ru-RU"/>
        </w:rPr>
        <w:t>247 152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тыс.руб,</w:t>
      </w:r>
      <w:r w:rsidR="008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 </w:t>
      </w:r>
      <w:r w:rsidR="00874C74">
        <w:rPr>
          <w:rFonts w:ascii="Times New Roman" w:eastAsia="Times New Roman" w:hAnsi="Times New Roman" w:cs="Times New Roman"/>
          <w:sz w:val="28"/>
          <w:szCs w:val="28"/>
          <w:lang w:eastAsia="ru-RU"/>
        </w:rPr>
        <w:t>236 121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</w:t>
      </w:r>
      <w:r w:rsidR="008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97FA4" w:rsidRDefault="00874C7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финансового управления администрации </w:t>
      </w:r>
      <w:proofErr w:type="spellStart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постоянно проводится мониторинг </w:t>
      </w:r>
      <w:proofErr w:type="gramStart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 в</w:t>
      </w:r>
      <w:proofErr w:type="gramEnd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 бюджета, осуществляется оперативное взаимодействие с администраторами доходов, предприятиями и учреждениями округа, своевременное реагирование позволяет положительно влиять на динамику поступлений доходов бюджета.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5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долгосрочной сбалансированности и устойчивости бюджетной системы утвержден План   мероприятий на период с 2021 по 2024 год по росту доходного потенциала, оптимизации расходов и совершенствованию долговой политики </w:t>
      </w:r>
      <w:proofErr w:type="spellStart"/>
      <w:r w:rsidRPr="00B56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Pr="00B5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утвержденный постановлением Администрации </w:t>
      </w:r>
      <w:proofErr w:type="spellStart"/>
      <w:r w:rsidRPr="00B56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Pr="00B5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6 сентября 2021 года № 875.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кредиты из краевого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кредиты в кредитных организациях для покрытия временных кассовых разрывов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не привлекались.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 округа исполнен с </w:t>
      </w:r>
      <w:r w:rsidR="00B5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сумме   </w:t>
      </w:r>
      <w:r w:rsidR="00B5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proofErr w:type="gramStart"/>
      <w:r w:rsidR="00B562A6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эффективного исполнения бюджета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подведомственных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отсутствует просроченная кредиторская задолженность по всем статьям классификации расходов.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Финансовое управление осуществляет своевременный контроль за финансово-экономическим обоснованием всех муниципальных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обоснованности механизмов реализации и ресурсного об</w:t>
      </w:r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взаимосвязи поставленных целей и бюджетных ограничений. Расходы местного бюджета по муниципальным программам исполнены в размере </w:t>
      </w:r>
      <w:r w:rsidR="000728F2">
        <w:rPr>
          <w:rFonts w:ascii="Times New Roman" w:eastAsia="Times New Roman" w:hAnsi="Times New Roman" w:cs="Times New Roman"/>
          <w:sz w:val="28"/>
          <w:szCs w:val="28"/>
          <w:lang w:eastAsia="ru-RU"/>
        </w:rPr>
        <w:t>728 741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привлечено за счет средств федерального и краевого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 </w:t>
      </w:r>
      <w:r w:rsidR="000728F2"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proofErr w:type="gramEnd"/>
      <w:r w:rsidR="0007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Доля расходов бюджета в муниципальных программах составляет </w:t>
      </w:r>
      <w:r w:rsidR="0007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 </w:t>
      </w:r>
      <w:proofErr w:type="gramStart"/>
      <w:r w:rsidR="0007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7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2021 годом доля увеличена на 3 процента.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обеспечения полноты учета расходных обязательств и определения объема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необходимых для их исполнения, финансовое управление ведет реестр расходных обязательств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Актуализирована информация о правовых основаниях с учетом разграничения предметов ведения и полномочий, объеме и структуре расходных обязательств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округе, исполненных за счет бюджетных ассигнований всех уровней власти.</w:t>
      </w:r>
    </w:p>
    <w:p w:rsidR="00697FA4" w:rsidRDefault="00411ED6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2022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подготовлен реестр расходных обязательств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оценкой обязательств </w:t>
      </w:r>
      <w:proofErr w:type="spellStart"/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 2022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который в установленный срок представлен в Министерство финансов Приморского края.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органов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202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средств бюджета округа направлено 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 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27,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собственных доходов бюджета округа (налоговые и неналоговые доходы) при утвержденном постановлением 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от 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0489">
        <w:rPr>
          <w:rFonts w:ascii="Times New Roman" w:eastAsia="Times New Roman" w:hAnsi="Times New Roman" w:cs="Times New Roman"/>
          <w:sz w:val="28"/>
          <w:szCs w:val="28"/>
          <w:lang w:eastAsia="ru-RU"/>
        </w:rPr>
        <w:t>864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-пп   нормативе  3</w:t>
      </w:r>
      <w:r w:rsidR="00E05924">
        <w:rPr>
          <w:rFonts w:ascii="Times New Roman" w:eastAsia="Times New Roman" w:hAnsi="Times New Roman" w:cs="Times New Roman"/>
          <w:sz w:val="28"/>
          <w:szCs w:val="28"/>
          <w:lang w:eastAsia="ru-RU"/>
        </w:rPr>
        <w:t>3,83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83A65" w:rsidRDefault="00C83A65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на протяжении 2022 года осуществлялся контроль за соблюдением значений целевых показателей заработной платы</w:t>
      </w:r>
      <w:r w:rsidR="00BB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образования 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="00BB4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«дорожных картах».</w:t>
      </w:r>
    </w:p>
    <w:p w:rsidR="00BB48C3" w:rsidRDefault="00BC4B57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B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2022 года педагогическая заработная плата работников дошкольных образовательных учреждений </w:t>
      </w:r>
      <w:proofErr w:type="spellStart"/>
      <w:r w:rsidR="00BB4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BB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составила 51 130,</w:t>
      </w:r>
      <w:r w:rsidR="00A55691"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рублей (</w:t>
      </w:r>
      <w:r w:rsidR="00BB4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показатель 49130,8рублей), выполнено 105%;</w:t>
      </w:r>
    </w:p>
    <w:p w:rsidR="00BB48C3" w:rsidRDefault="00BB48C3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средняя заработная плата педагогических работников средних общеобразовательных учреждений составила 57 394,1руб (утвержденный показатель 50 </w:t>
      </w:r>
      <w:r w:rsidR="00A55691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исполнение 112,5%;</w:t>
      </w:r>
    </w:p>
    <w:p w:rsidR="00BB48C3" w:rsidRDefault="00BB48C3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работников культуры составила</w:t>
      </w:r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48 658,37 </w:t>
      </w:r>
      <w:proofErr w:type="spellStart"/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A5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A5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A5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показатель - 50 999,0 ), исполнение </w:t>
      </w:r>
      <w:r w:rsidR="00F340FB">
        <w:rPr>
          <w:rFonts w:ascii="Times New Roman" w:eastAsia="Times New Roman" w:hAnsi="Times New Roman" w:cs="Times New Roman"/>
          <w:sz w:val="28"/>
          <w:szCs w:val="28"/>
          <w:lang w:eastAsia="ru-RU"/>
        </w:rPr>
        <w:t>95,4%</w:t>
      </w:r>
    </w:p>
    <w:p w:rsidR="00BB48C3" w:rsidRDefault="00BB48C3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A65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в 202</w:t>
      </w:r>
      <w:r w:rsidR="00E05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финансовым управлением осуществлялся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получателями средств субсидий, а также за своевременным использованием средств субвенций.</w:t>
      </w:r>
      <w:r w:rsidR="00C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года специалистами управления осуществлялось ведение сводного реестра главных распорядителей, распорядителей и получателей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главных администраторов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 доходов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главных администраторов и администраторов источников финансирования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 оперативного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информации для включения в реестр участников бюджетного процесса в системе «Электронный бюджет» согласно приказу Минфина России от 23.12.2014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163н  « О Порядке формирования и ведения  реестра участников бюджетного процесса, а также юридических лиц, не являющихся участниками бюджетного процесса»  специалистами управления обеспечивалось наполнение и актуализация  Сводного реестра данными муниципальных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</w:t>
      </w:r>
      <w:r w:rsidR="00E05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финансовым управлением проводилась работа по соблюдению единой методологии бюджетного учета и бюджетной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округа.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Консолидированная годовая бюджетная отчетность за 202</w:t>
      </w:r>
      <w:r w:rsidR="00E059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финансовым управлением представлена в 202</w:t>
      </w:r>
      <w:r w:rsidR="00E05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полном объеме предусмотренных форм и в срок, установленный министерством финансов, принята без замечаний.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Финансовым управлением ежемесячно и ежеквартально осуществляется прием и проверка на соответствие контрольным соотношениям бюджетной отчетности получателей средств бюджета округа. Ежемесячно и ежеквартально в срок, установленный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 финансов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края, финансовым управлением формировалась и представлялась в полном объеме форм отчетность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обеспечения результативности и эффективности использования бюджетных средств специалистами финансового управления ежемесячно по результатам сформированной бюджетной (бухгалтерской) отчетности осуществлялся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 просроченной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 получателей средств бюджета округа, а также остатков средств на единых счетах бюджетов.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</w:t>
      </w:r>
      <w:r w:rsidR="00E05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обеспечено своевременное направление до главного распорядителя средств бюджета округа информации о доведенных главными распорядителями средств краевого бюджета лимитах бюджетных обязательств, учтенных на лицевых счетах по переданным полномочиям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получателей бюджетных средств, открытых в Управлении Федерального казначейства по Приморскому краю.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статьей  41 Положения о бюджетном устройстве и бюджетном 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в 202</w:t>
      </w:r>
      <w:r w:rsidR="00E05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финансовым управлением осуществлялось формирование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 1 квартал, полугодие и девять месяцев и подготовка проекта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об утверждении квартального отчета об исполнении  бюджета округа для направления в Думу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Контрольно-счетную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Бюджетного кодекса Российской Федерации финансовое управление осуществляет исполнение, учет, хранение судебных актов по искам к муниципальному образованию о возмещении вреда, причиненного   незаконными действиями (</w:t>
      </w:r>
      <w:r w:rsidRPr="0072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бездействием) органов местного </w:t>
      </w:r>
      <w:proofErr w:type="gramStart"/>
      <w:r w:rsidRPr="00722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или</w:t>
      </w:r>
      <w:proofErr w:type="gramEnd"/>
      <w:r w:rsidRPr="0072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должностных лиц.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исполнение в финансовое </w:t>
      </w:r>
      <w:proofErr w:type="gramStart"/>
      <w:r w:rsidRPr="00722E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  исполнительных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 не поступало.</w:t>
      </w:r>
    </w:p>
    <w:p w:rsidR="00697FA4" w:rsidRDefault="00697FA4" w:rsidP="00BA578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4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целях реализации принципа прозрачности и обеспечения полного и доступного информирования граждан о бюджетах </w:t>
      </w:r>
      <w:r w:rsidR="00BA5785">
        <w:rPr>
          <w:rFonts w:ascii="Times New Roman" w:hAnsi="Times New Roman" w:cs="Times New Roman"/>
          <w:sz w:val="28"/>
          <w:szCs w:val="28"/>
        </w:rPr>
        <w:t>муниципальных образований Приморского края в соответствии с Методическими рекомендациями по обеспечению открытости бюджетных данных городских(муниципальных) округов, муниципальных районов Приморского края с использованием сети интернет и предоставлению местных бюджетов и отчетов об их исполнении в доступной для граждан форме</w:t>
      </w:r>
      <w:r>
        <w:rPr>
          <w:rFonts w:ascii="Times New Roman" w:hAnsi="Times New Roman" w:cs="Times New Roman"/>
          <w:sz w:val="28"/>
          <w:szCs w:val="28"/>
        </w:rPr>
        <w:t xml:space="preserve">  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A5785">
        <w:rPr>
          <w:rFonts w:ascii="Times New Roman" w:hAnsi="Times New Roman" w:cs="Times New Roman"/>
          <w:sz w:val="28"/>
          <w:szCs w:val="28"/>
        </w:rPr>
        <w:t xml:space="preserve">размещены открытые бюджетные данные и Бюджет для граждан. Размещены характеристики первоначально утвержденного бюджета, годовой отчет об исполнении </w:t>
      </w:r>
      <w:proofErr w:type="spellStart"/>
      <w:r w:rsidR="00BA5785">
        <w:rPr>
          <w:rFonts w:ascii="Times New Roman" w:hAnsi="Times New Roman" w:cs="Times New Roman"/>
          <w:sz w:val="28"/>
          <w:szCs w:val="28"/>
        </w:rPr>
        <w:t>боджета</w:t>
      </w:r>
      <w:proofErr w:type="spellEnd"/>
      <w:r w:rsidR="00BA5785">
        <w:rPr>
          <w:rFonts w:ascii="Times New Roman" w:hAnsi="Times New Roman" w:cs="Times New Roman"/>
          <w:sz w:val="28"/>
          <w:szCs w:val="28"/>
        </w:rPr>
        <w:t xml:space="preserve">, проект бюджета и материалы к нему, материалы по исполнению </w:t>
      </w:r>
      <w:r w:rsidR="00BA5785">
        <w:rPr>
          <w:rFonts w:ascii="Times New Roman" w:hAnsi="Times New Roman" w:cs="Times New Roman"/>
          <w:sz w:val="28"/>
          <w:szCs w:val="28"/>
        </w:rPr>
        <w:lastRenderedPageBreak/>
        <w:t>бюджета, материалы по реализованным проектам по направлению «Твой проект».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4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D807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финансовым управлением продолжалась работа  по мониторингу и контролю за размещением муниципальными учреждениями  информации в личном кабинете на официальном сайте о государственных (муниципальных) учреждениях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92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о муниципальном задании и его исполнении, о показателях бюджетной сметы, о годовой бухгалтерской отчетности, о результатах деятельности учреждения и использовании имущества и иной информации об учреждении.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исполнения приказа Минфина России от 28.12.2016 № 243н «О составе и порядке размещения и предоставления информации на едином портале бюджетной системы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 сотрудниками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финансового управления размещена информация в размере 100 процентов.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целом за 202</w:t>
      </w:r>
      <w:r w:rsid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управлении зарегистрировано </w:t>
      </w:r>
      <w:r w:rsidRPr="001B33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785">
        <w:rPr>
          <w:rFonts w:ascii="Times New Roman" w:eastAsia="Times New Roman" w:hAnsi="Times New Roman" w:cs="Times New Roman"/>
          <w:sz w:val="28"/>
          <w:szCs w:val="28"/>
          <w:lang w:eastAsia="ru-RU"/>
        </w:rPr>
        <w:t>5 входящих документов, рассмотрено и согласовано 212 прое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нормативно-правовых актов,</w:t>
      </w:r>
      <w:r w:rsidR="00BA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и </w:t>
      </w:r>
      <w:proofErr w:type="gramStart"/>
      <w:r w:rsidR="00BA5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  администрации</w:t>
      </w:r>
      <w:proofErr w:type="gramEnd"/>
      <w:r w:rsidR="00BA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5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BA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F0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документы рассмотрены и исполнены в установленные сроки.</w:t>
      </w:r>
    </w:p>
    <w:p w:rsidR="00424201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осуществленной </w:t>
      </w:r>
      <w:r w:rsidR="0092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 финансов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  в 202</w:t>
      </w:r>
      <w:r w:rsid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оценкой качества управления муниципальными финансами за 202</w:t>
      </w:r>
      <w:r w:rsid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присвоена</w:t>
      </w:r>
      <w:r w:rsidRPr="001B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качества управления бюджетным процессом.</w:t>
      </w:r>
      <w:r w:rsid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FA4" w:rsidRDefault="00424201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Приморского края от 19.08.2022 №565-пп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округу распределен межбюджетный трансферт  на грант в целях поощрения за достигнутые результаты в работе по повышению качества управления бюджетным процессом </w:t>
      </w:r>
      <w:r w:rsidR="0013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133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 w:rsidR="0013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4174,87 тыс.руб</w:t>
      </w:r>
      <w:bookmarkStart w:id="0" w:name="_GoBack"/>
      <w:bookmarkEnd w:id="0"/>
      <w:r w:rsidR="0013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903" w:rsidRDefault="005F0903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поощрения муниципального образования за рост налоговых доходов в отчетном периоде и за достижение наилучших показателей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отдельным направлениям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округу распределена дотация в сумме 5290,0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903" w:rsidRDefault="005F0903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2023 году финансовым управлением будет продолжена работа по повышению качества организации бюджетного процесса и обеспечены необходимые условия для</w:t>
      </w:r>
      <w:r w:rsidR="0010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0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формирования отчета об </w:t>
      </w:r>
      <w:proofErr w:type="gramStart"/>
      <w:r w:rsidR="0010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7FA4" w:rsidRDefault="00697FA4" w:rsidP="00697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Е.Е.Нестеренко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FA4" w:rsidRDefault="00697FA4" w:rsidP="00697FA4"/>
    <w:p w:rsidR="00697FA4" w:rsidRDefault="00697FA4" w:rsidP="00697FA4"/>
    <w:p w:rsidR="00697FA4" w:rsidRDefault="00697FA4" w:rsidP="00697FA4"/>
    <w:p w:rsidR="00697FA4" w:rsidRDefault="00697FA4" w:rsidP="00697FA4"/>
    <w:p w:rsidR="00E66B8F" w:rsidRDefault="00E66B8F"/>
    <w:sectPr w:rsidR="00E6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5F"/>
    <w:rsid w:val="000728F2"/>
    <w:rsid w:val="00106D63"/>
    <w:rsid w:val="001336F5"/>
    <w:rsid w:val="00411ED6"/>
    <w:rsid w:val="00424201"/>
    <w:rsid w:val="004C7B80"/>
    <w:rsid w:val="005F0903"/>
    <w:rsid w:val="006378D7"/>
    <w:rsid w:val="00637FB9"/>
    <w:rsid w:val="00645499"/>
    <w:rsid w:val="00697FA4"/>
    <w:rsid w:val="007D731A"/>
    <w:rsid w:val="00874C74"/>
    <w:rsid w:val="00921BC5"/>
    <w:rsid w:val="00A26D05"/>
    <w:rsid w:val="00A55691"/>
    <w:rsid w:val="00A63543"/>
    <w:rsid w:val="00B16E9B"/>
    <w:rsid w:val="00B562A6"/>
    <w:rsid w:val="00BA5785"/>
    <w:rsid w:val="00BB48C3"/>
    <w:rsid w:val="00BC4B57"/>
    <w:rsid w:val="00C83A65"/>
    <w:rsid w:val="00CC6E5F"/>
    <w:rsid w:val="00D26535"/>
    <w:rsid w:val="00D807E9"/>
    <w:rsid w:val="00E05924"/>
    <w:rsid w:val="00E158C0"/>
    <w:rsid w:val="00E60489"/>
    <w:rsid w:val="00E66B8F"/>
    <w:rsid w:val="00F340FB"/>
    <w:rsid w:val="00F76837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C338"/>
  <w15:chartTrackingRefBased/>
  <w15:docId w15:val="{DFCE8626-2E4A-4FC0-9FC2-9B52D1D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2023-02-19T23:48:00Z</dcterms:created>
  <dcterms:modified xsi:type="dcterms:W3CDTF">2023-03-10T07:23:00Z</dcterms:modified>
</cp:coreProperties>
</file>