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61E" w:rsidRDefault="00C1061E" w:rsidP="00A14A5C">
      <w:pPr>
        <w:pStyle w:val="10"/>
        <w:shd w:val="clear" w:color="auto" w:fill="auto"/>
        <w:spacing w:before="0" w:after="0"/>
        <w:ind w:left="20"/>
        <w:jc w:val="right"/>
        <w:rPr>
          <w:b w:val="0"/>
          <w:sz w:val="26"/>
          <w:szCs w:val="26"/>
        </w:rPr>
      </w:pPr>
    </w:p>
    <w:p w:rsidR="00C1061E" w:rsidRDefault="00C1061E" w:rsidP="00A14A5C">
      <w:pPr>
        <w:pStyle w:val="10"/>
        <w:shd w:val="clear" w:color="auto" w:fill="auto"/>
        <w:spacing w:before="0" w:after="0"/>
        <w:ind w:left="20"/>
        <w:jc w:val="right"/>
        <w:rPr>
          <w:b w:val="0"/>
          <w:sz w:val="26"/>
          <w:szCs w:val="26"/>
        </w:rPr>
      </w:pPr>
    </w:p>
    <w:p w:rsidR="00C1061E" w:rsidRDefault="00C1061E" w:rsidP="00C113DC">
      <w:pPr>
        <w:pStyle w:val="10"/>
        <w:shd w:val="clear" w:color="auto" w:fill="auto"/>
        <w:spacing w:before="0" w:after="0"/>
        <w:ind w:left="20"/>
        <w:rPr>
          <w:b w:val="0"/>
          <w:sz w:val="26"/>
          <w:szCs w:val="26"/>
        </w:rPr>
      </w:pPr>
    </w:p>
    <w:p w:rsidR="00C1061E" w:rsidRPr="001E2CDF" w:rsidRDefault="00C1061E" w:rsidP="00C113DC">
      <w:pPr>
        <w:pStyle w:val="10"/>
        <w:spacing w:before="0" w:after="0"/>
        <w:rPr>
          <w:sz w:val="26"/>
          <w:szCs w:val="26"/>
        </w:rPr>
      </w:pPr>
      <w:r w:rsidRPr="001E2CDF">
        <w:rPr>
          <w:sz w:val="26"/>
          <w:szCs w:val="26"/>
        </w:rPr>
        <w:t>Д У М А</w:t>
      </w:r>
    </w:p>
    <w:p w:rsidR="00C1061E" w:rsidRPr="001E2CDF" w:rsidRDefault="00C1061E" w:rsidP="00C113DC">
      <w:pPr>
        <w:pStyle w:val="10"/>
        <w:spacing w:before="0" w:after="0"/>
        <w:rPr>
          <w:sz w:val="26"/>
          <w:szCs w:val="26"/>
        </w:rPr>
      </w:pPr>
      <w:r w:rsidRPr="001E2CDF">
        <w:rPr>
          <w:sz w:val="26"/>
          <w:szCs w:val="26"/>
        </w:rPr>
        <w:t>ТЕРНЕЙСКОГО МУНИЦИПАЛЬНОГО ОКРУГА</w:t>
      </w:r>
    </w:p>
    <w:p w:rsidR="00C1061E" w:rsidRPr="001E2CDF" w:rsidRDefault="00C1061E" w:rsidP="00C113DC">
      <w:pPr>
        <w:pStyle w:val="10"/>
        <w:spacing w:before="0" w:after="0"/>
        <w:rPr>
          <w:sz w:val="26"/>
          <w:szCs w:val="26"/>
        </w:rPr>
      </w:pPr>
      <w:r w:rsidRPr="001E2CDF">
        <w:rPr>
          <w:sz w:val="26"/>
          <w:szCs w:val="26"/>
        </w:rPr>
        <w:t>ПРИМОРСКОГО КРАЯ</w:t>
      </w:r>
    </w:p>
    <w:p w:rsidR="00C1061E" w:rsidRPr="001E2CDF" w:rsidRDefault="00C1061E" w:rsidP="00C113DC">
      <w:pPr>
        <w:pStyle w:val="10"/>
        <w:shd w:val="clear" w:color="auto" w:fill="auto"/>
        <w:spacing w:before="0" w:after="0"/>
        <w:ind w:left="20"/>
        <w:rPr>
          <w:sz w:val="26"/>
          <w:szCs w:val="26"/>
        </w:rPr>
      </w:pPr>
    </w:p>
    <w:p w:rsidR="00C1061E" w:rsidRPr="001E2CDF" w:rsidRDefault="00C1061E" w:rsidP="00C113DC">
      <w:pPr>
        <w:pStyle w:val="10"/>
        <w:shd w:val="clear" w:color="auto" w:fill="auto"/>
        <w:spacing w:before="0" w:after="0"/>
        <w:ind w:left="20"/>
        <w:rPr>
          <w:sz w:val="26"/>
          <w:szCs w:val="26"/>
        </w:rPr>
      </w:pPr>
      <w:r w:rsidRPr="001E2CDF">
        <w:rPr>
          <w:sz w:val="26"/>
          <w:szCs w:val="26"/>
        </w:rPr>
        <w:t>РЕШЕНИЕ</w:t>
      </w:r>
    </w:p>
    <w:p w:rsidR="00C1061E" w:rsidRPr="001E2CDF" w:rsidRDefault="00C1061E" w:rsidP="00C113DC">
      <w:pPr>
        <w:pStyle w:val="10"/>
        <w:shd w:val="clear" w:color="auto" w:fill="auto"/>
        <w:spacing w:before="0" w:after="0"/>
        <w:ind w:left="20"/>
        <w:jc w:val="left"/>
        <w:rPr>
          <w:b w:val="0"/>
          <w:sz w:val="26"/>
          <w:szCs w:val="26"/>
        </w:rPr>
      </w:pPr>
    </w:p>
    <w:p w:rsidR="00C1061E" w:rsidRPr="00DD1B49" w:rsidRDefault="00C1061E" w:rsidP="00C113DC">
      <w:pPr>
        <w:pStyle w:val="10"/>
        <w:spacing w:after="0"/>
        <w:ind w:left="20"/>
        <w:rPr>
          <w:sz w:val="26"/>
          <w:szCs w:val="26"/>
        </w:rPr>
      </w:pPr>
      <w:r w:rsidRPr="00DD1B49">
        <w:rPr>
          <w:sz w:val="26"/>
          <w:szCs w:val="26"/>
        </w:rPr>
        <w:t xml:space="preserve">от 31 января 2025                                      пгт.  Терней           </w:t>
      </w:r>
      <w:r w:rsidR="00E20FAC" w:rsidRPr="00DD1B49">
        <w:rPr>
          <w:sz w:val="26"/>
          <w:szCs w:val="26"/>
        </w:rPr>
        <w:t xml:space="preserve">                           </w:t>
      </w:r>
      <w:r w:rsidR="00E20FAC" w:rsidRPr="00DD1B49">
        <w:rPr>
          <w:sz w:val="26"/>
          <w:szCs w:val="26"/>
        </w:rPr>
        <w:tab/>
        <w:t>№</w:t>
      </w:r>
      <w:bookmarkStart w:id="0" w:name="_GoBack"/>
      <w:bookmarkEnd w:id="0"/>
      <w:r w:rsidR="00E20FAC" w:rsidRPr="00DD1B49">
        <w:rPr>
          <w:sz w:val="26"/>
          <w:szCs w:val="26"/>
        </w:rPr>
        <w:t>606</w:t>
      </w:r>
    </w:p>
    <w:p w:rsidR="00C1061E" w:rsidRPr="00DD1B49" w:rsidRDefault="00C1061E" w:rsidP="00C113DC">
      <w:pPr>
        <w:pStyle w:val="10"/>
        <w:spacing w:after="0"/>
        <w:ind w:left="20"/>
        <w:rPr>
          <w:sz w:val="26"/>
          <w:szCs w:val="26"/>
        </w:rPr>
      </w:pPr>
    </w:p>
    <w:p w:rsidR="001E2CDF" w:rsidRPr="00DD1B49" w:rsidRDefault="001E2CDF" w:rsidP="00C113DC">
      <w:pPr>
        <w:pStyle w:val="10"/>
        <w:spacing w:after="0"/>
        <w:ind w:left="20"/>
        <w:rPr>
          <w:sz w:val="26"/>
          <w:szCs w:val="26"/>
        </w:rPr>
      </w:pPr>
    </w:p>
    <w:p w:rsidR="00C1061E" w:rsidRPr="001E2CDF" w:rsidRDefault="00C1061E" w:rsidP="00C113DC">
      <w:pPr>
        <w:pStyle w:val="10"/>
        <w:spacing w:before="0" w:after="0"/>
        <w:jc w:val="left"/>
        <w:rPr>
          <w:sz w:val="26"/>
          <w:szCs w:val="26"/>
        </w:rPr>
      </w:pPr>
      <w:r w:rsidRPr="001E2CDF">
        <w:rPr>
          <w:sz w:val="26"/>
          <w:szCs w:val="26"/>
        </w:rPr>
        <w:t>О внесении изменений в Положение о дорожном фонде</w:t>
      </w:r>
    </w:p>
    <w:p w:rsidR="00C1061E" w:rsidRPr="001E2CDF" w:rsidRDefault="00C1061E" w:rsidP="00C113DC">
      <w:pPr>
        <w:pStyle w:val="10"/>
        <w:spacing w:before="0" w:after="0"/>
        <w:jc w:val="left"/>
        <w:rPr>
          <w:sz w:val="26"/>
          <w:szCs w:val="26"/>
        </w:rPr>
      </w:pPr>
      <w:r w:rsidRPr="001E2CDF">
        <w:rPr>
          <w:sz w:val="26"/>
          <w:szCs w:val="26"/>
        </w:rPr>
        <w:t>Тернейского муниципального района, утвержденное решением Думы</w:t>
      </w:r>
    </w:p>
    <w:p w:rsidR="00C1061E" w:rsidRPr="001E2CDF" w:rsidRDefault="00C1061E" w:rsidP="00C113DC">
      <w:pPr>
        <w:pStyle w:val="10"/>
        <w:shd w:val="clear" w:color="auto" w:fill="auto"/>
        <w:spacing w:before="0" w:after="0"/>
        <w:jc w:val="left"/>
        <w:rPr>
          <w:sz w:val="26"/>
          <w:szCs w:val="26"/>
        </w:rPr>
      </w:pPr>
      <w:r w:rsidRPr="001E2CDF">
        <w:rPr>
          <w:sz w:val="26"/>
          <w:szCs w:val="26"/>
        </w:rPr>
        <w:t>Тернейского муниципального района от 29.10.2013 № 17</w:t>
      </w:r>
    </w:p>
    <w:p w:rsidR="00C1061E" w:rsidRPr="001E2CDF" w:rsidRDefault="00C1061E" w:rsidP="00A14A5C">
      <w:pPr>
        <w:pStyle w:val="10"/>
        <w:shd w:val="clear" w:color="auto" w:fill="auto"/>
        <w:spacing w:before="0" w:after="0"/>
        <w:ind w:left="20"/>
        <w:jc w:val="right"/>
        <w:rPr>
          <w:b w:val="0"/>
          <w:sz w:val="26"/>
          <w:szCs w:val="26"/>
        </w:rPr>
      </w:pPr>
    </w:p>
    <w:p w:rsidR="00C1061E" w:rsidRPr="001E2CDF" w:rsidRDefault="00C1061E" w:rsidP="00A14A5C">
      <w:pPr>
        <w:pStyle w:val="10"/>
        <w:shd w:val="clear" w:color="auto" w:fill="auto"/>
        <w:spacing w:before="0" w:after="0"/>
        <w:ind w:left="20"/>
        <w:jc w:val="right"/>
        <w:rPr>
          <w:b w:val="0"/>
          <w:sz w:val="26"/>
          <w:szCs w:val="26"/>
        </w:rPr>
      </w:pPr>
    </w:p>
    <w:p w:rsidR="00C1061E" w:rsidRPr="001E2CDF" w:rsidRDefault="00C1061E" w:rsidP="00C113DC">
      <w:pPr>
        <w:pStyle w:val="10"/>
        <w:spacing w:after="0"/>
        <w:ind w:firstLine="709"/>
        <w:jc w:val="both"/>
        <w:rPr>
          <w:b w:val="0"/>
          <w:sz w:val="26"/>
          <w:szCs w:val="26"/>
        </w:rPr>
      </w:pPr>
      <w:r w:rsidRPr="001E2CDF">
        <w:rPr>
          <w:b w:val="0"/>
          <w:sz w:val="26"/>
          <w:szCs w:val="26"/>
        </w:rPr>
        <w:t>В целях приведения в соответствие с действующем законодательством Федеральным законом от 08.11.2003 №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руководствуясь Уставом Тернейского муниципального округа, Дума Тернейского муниципального округа</w:t>
      </w:r>
    </w:p>
    <w:p w:rsidR="00C1061E" w:rsidRPr="001E2CDF" w:rsidRDefault="00C1061E" w:rsidP="00C113DC">
      <w:pPr>
        <w:pStyle w:val="10"/>
        <w:shd w:val="clear" w:color="auto" w:fill="auto"/>
        <w:spacing w:before="0" w:after="0"/>
        <w:ind w:left="20"/>
        <w:jc w:val="left"/>
        <w:rPr>
          <w:b w:val="0"/>
          <w:sz w:val="26"/>
          <w:szCs w:val="26"/>
        </w:rPr>
      </w:pPr>
    </w:p>
    <w:p w:rsidR="00C1061E" w:rsidRPr="001E2CDF" w:rsidRDefault="00C1061E" w:rsidP="00C113DC">
      <w:pPr>
        <w:pStyle w:val="10"/>
        <w:shd w:val="clear" w:color="auto" w:fill="auto"/>
        <w:spacing w:before="0" w:after="0"/>
        <w:ind w:left="20"/>
        <w:jc w:val="left"/>
        <w:rPr>
          <w:sz w:val="26"/>
          <w:szCs w:val="26"/>
        </w:rPr>
      </w:pPr>
      <w:r w:rsidRPr="001E2CDF">
        <w:rPr>
          <w:sz w:val="26"/>
          <w:szCs w:val="26"/>
        </w:rPr>
        <w:t>РЕШИЛА:</w:t>
      </w:r>
    </w:p>
    <w:p w:rsidR="00C1061E" w:rsidRPr="001E2CDF" w:rsidRDefault="00C1061E" w:rsidP="00C113DC">
      <w:pPr>
        <w:pStyle w:val="10"/>
        <w:shd w:val="clear" w:color="auto" w:fill="auto"/>
        <w:spacing w:before="0" w:after="0"/>
        <w:ind w:left="20"/>
        <w:jc w:val="left"/>
        <w:rPr>
          <w:b w:val="0"/>
          <w:sz w:val="26"/>
          <w:szCs w:val="26"/>
        </w:rPr>
      </w:pPr>
    </w:p>
    <w:p w:rsidR="00C1061E" w:rsidRPr="001E2CDF" w:rsidRDefault="00C1061E" w:rsidP="00C113DC">
      <w:pPr>
        <w:numPr>
          <w:ilvl w:val="0"/>
          <w:numId w:val="4"/>
        </w:numPr>
        <w:spacing w:after="0"/>
        <w:ind w:right="-185"/>
        <w:contextualSpacing/>
        <w:jc w:val="both"/>
        <w:rPr>
          <w:rFonts w:ascii="Times New Roman" w:hAnsi="Times New Roman"/>
          <w:sz w:val="26"/>
          <w:szCs w:val="26"/>
        </w:rPr>
      </w:pPr>
      <w:r w:rsidRPr="001E2CDF">
        <w:rPr>
          <w:rFonts w:ascii="Times New Roman" w:hAnsi="Times New Roman"/>
          <w:sz w:val="26"/>
          <w:szCs w:val="26"/>
        </w:rPr>
        <w:t>Внести в Положение о дорожном фонде Тернейского муниципального района, утвержденное решением Думы Тернейского муниципального района от 29.10.2013 № 17 (далее – Положение) следующие изменения.</w:t>
      </w:r>
    </w:p>
    <w:p w:rsidR="00C1061E" w:rsidRPr="001E2CDF" w:rsidRDefault="00C1061E" w:rsidP="00C113DC">
      <w:pPr>
        <w:numPr>
          <w:ilvl w:val="1"/>
          <w:numId w:val="4"/>
        </w:numPr>
        <w:spacing w:after="0"/>
        <w:ind w:right="-185"/>
        <w:contextualSpacing/>
        <w:jc w:val="both"/>
        <w:rPr>
          <w:rFonts w:ascii="Times New Roman" w:hAnsi="Times New Roman"/>
          <w:sz w:val="26"/>
          <w:szCs w:val="26"/>
        </w:rPr>
      </w:pPr>
      <w:r w:rsidRPr="001E2CDF">
        <w:rPr>
          <w:rFonts w:ascii="Times New Roman" w:hAnsi="Times New Roman"/>
          <w:sz w:val="26"/>
          <w:szCs w:val="26"/>
        </w:rPr>
        <w:t xml:space="preserve">по тексту Положения слова «Тернейский муниципальный район» заменить словами «Тернейский муниципальный округ» </w:t>
      </w:r>
    </w:p>
    <w:p w:rsidR="00C1061E" w:rsidRPr="001E2CDF" w:rsidRDefault="00C1061E" w:rsidP="00C113DC">
      <w:pPr>
        <w:numPr>
          <w:ilvl w:val="1"/>
          <w:numId w:val="4"/>
        </w:numPr>
        <w:spacing w:after="0"/>
        <w:ind w:right="-185"/>
        <w:contextualSpacing/>
        <w:jc w:val="both"/>
        <w:rPr>
          <w:rFonts w:ascii="Times New Roman" w:hAnsi="Times New Roman"/>
          <w:sz w:val="26"/>
          <w:szCs w:val="26"/>
        </w:rPr>
      </w:pPr>
      <w:r w:rsidRPr="001E2CDF">
        <w:rPr>
          <w:rFonts w:ascii="Times New Roman" w:hAnsi="Times New Roman"/>
          <w:sz w:val="26"/>
          <w:szCs w:val="26"/>
        </w:rPr>
        <w:t>В пункте 3.1. раздела 3 абзацы 5,6,7 исключить;</w:t>
      </w:r>
    </w:p>
    <w:p w:rsidR="00C1061E" w:rsidRPr="001E2CDF" w:rsidRDefault="00C1061E" w:rsidP="00C113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E2CDF">
        <w:rPr>
          <w:rFonts w:ascii="Times New Roman" w:hAnsi="Times New Roman"/>
          <w:sz w:val="26"/>
          <w:szCs w:val="26"/>
        </w:rPr>
        <w:tab/>
        <w:t>2. Настоящее решение вступает в силу со дня его официального опубликования в газете «Вестник Тернея».</w:t>
      </w:r>
    </w:p>
    <w:p w:rsidR="00C1061E" w:rsidRPr="001E2CDF" w:rsidRDefault="00C1061E" w:rsidP="00C113DC">
      <w:pPr>
        <w:pStyle w:val="10"/>
        <w:shd w:val="clear" w:color="auto" w:fill="auto"/>
        <w:spacing w:before="0" w:after="0"/>
        <w:ind w:left="20"/>
        <w:jc w:val="left"/>
        <w:rPr>
          <w:b w:val="0"/>
          <w:sz w:val="26"/>
          <w:szCs w:val="26"/>
        </w:rPr>
      </w:pPr>
    </w:p>
    <w:p w:rsidR="00C1061E" w:rsidRPr="001E2CDF" w:rsidRDefault="00C1061E" w:rsidP="00A14A5C">
      <w:pPr>
        <w:pStyle w:val="10"/>
        <w:shd w:val="clear" w:color="auto" w:fill="auto"/>
        <w:spacing w:before="0" w:after="0"/>
        <w:ind w:left="20"/>
        <w:jc w:val="right"/>
        <w:rPr>
          <w:b w:val="0"/>
          <w:sz w:val="26"/>
          <w:szCs w:val="26"/>
        </w:rPr>
      </w:pPr>
    </w:p>
    <w:p w:rsidR="00C1061E" w:rsidRPr="001E2CDF" w:rsidRDefault="00C1061E" w:rsidP="00A14A5C">
      <w:pPr>
        <w:pStyle w:val="10"/>
        <w:shd w:val="clear" w:color="auto" w:fill="auto"/>
        <w:spacing w:before="0" w:after="0"/>
        <w:ind w:left="20"/>
        <w:jc w:val="right"/>
        <w:rPr>
          <w:b w:val="0"/>
          <w:sz w:val="26"/>
          <w:szCs w:val="26"/>
        </w:rPr>
      </w:pPr>
    </w:p>
    <w:p w:rsidR="00C1061E" w:rsidRPr="001E2CDF" w:rsidRDefault="00C1061E" w:rsidP="00A14A5C">
      <w:pPr>
        <w:pStyle w:val="10"/>
        <w:shd w:val="clear" w:color="auto" w:fill="auto"/>
        <w:spacing w:before="0" w:after="0"/>
        <w:ind w:left="20"/>
        <w:jc w:val="right"/>
        <w:rPr>
          <w:b w:val="0"/>
          <w:sz w:val="26"/>
          <w:szCs w:val="26"/>
        </w:rPr>
      </w:pPr>
    </w:p>
    <w:p w:rsidR="00C1061E" w:rsidRPr="001E2CDF" w:rsidRDefault="00C1061E" w:rsidP="00C113DC">
      <w:pPr>
        <w:spacing w:after="0" w:line="240" w:lineRule="auto"/>
        <w:ind w:left="284" w:right="-6"/>
        <w:jc w:val="both"/>
        <w:rPr>
          <w:rFonts w:ascii="Times New Roman" w:hAnsi="Times New Roman"/>
          <w:sz w:val="26"/>
          <w:szCs w:val="26"/>
        </w:rPr>
      </w:pPr>
      <w:r w:rsidRPr="001E2CDF">
        <w:rPr>
          <w:rFonts w:ascii="Times New Roman" w:hAnsi="Times New Roman"/>
          <w:sz w:val="26"/>
          <w:szCs w:val="26"/>
        </w:rPr>
        <w:t>Глава</w:t>
      </w:r>
    </w:p>
    <w:p w:rsidR="00C1061E" w:rsidRPr="001E2CDF" w:rsidRDefault="00C1061E" w:rsidP="00C113DC">
      <w:pPr>
        <w:spacing w:after="0" w:line="240" w:lineRule="auto"/>
        <w:ind w:left="284" w:right="-6"/>
        <w:jc w:val="both"/>
        <w:rPr>
          <w:rFonts w:ascii="Times New Roman" w:hAnsi="Times New Roman"/>
          <w:sz w:val="26"/>
          <w:szCs w:val="26"/>
        </w:rPr>
      </w:pPr>
      <w:r w:rsidRPr="001E2CDF">
        <w:rPr>
          <w:rFonts w:ascii="Times New Roman" w:hAnsi="Times New Roman"/>
          <w:sz w:val="26"/>
          <w:szCs w:val="26"/>
        </w:rPr>
        <w:t>Тернейского муниципального</w:t>
      </w:r>
    </w:p>
    <w:p w:rsidR="00C1061E" w:rsidRPr="001E2CDF" w:rsidRDefault="001E2CDF" w:rsidP="00C113DC">
      <w:pPr>
        <w:shd w:val="clear" w:color="auto" w:fill="FFFFFF"/>
        <w:spacing w:after="0" w:line="240" w:lineRule="auto"/>
        <w:ind w:left="284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округа Приморского края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C1061E" w:rsidRPr="001E2CDF">
        <w:rPr>
          <w:rFonts w:ascii="Times New Roman" w:hAnsi="Times New Roman"/>
          <w:sz w:val="26"/>
          <w:szCs w:val="26"/>
        </w:rPr>
        <w:t>С. Н. Наумкин</w:t>
      </w:r>
    </w:p>
    <w:p w:rsidR="00C1061E" w:rsidRPr="001E2CDF" w:rsidRDefault="00C1061E" w:rsidP="00C113DC">
      <w:pPr>
        <w:spacing w:after="0" w:line="240" w:lineRule="auto"/>
        <w:ind w:left="284" w:right="-1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1061E" w:rsidRPr="001E2CDF" w:rsidRDefault="00C1061E" w:rsidP="00C113DC">
      <w:pPr>
        <w:pStyle w:val="10"/>
        <w:shd w:val="clear" w:color="auto" w:fill="auto"/>
        <w:spacing w:before="0" w:after="0"/>
        <w:ind w:left="20"/>
        <w:jc w:val="left"/>
        <w:rPr>
          <w:b w:val="0"/>
          <w:sz w:val="26"/>
          <w:szCs w:val="26"/>
        </w:rPr>
      </w:pPr>
    </w:p>
    <w:p w:rsidR="00C1061E" w:rsidRPr="001E2CDF" w:rsidRDefault="00C1061E" w:rsidP="00A14A5C">
      <w:pPr>
        <w:pStyle w:val="10"/>
        <w:shd w:val="clear" w:color="auto" w:fill="auto"/>
        <w:spacing w:before="0" w:after="0"/>
        <w:ind w:left="20"/>
        <w:jc w:val="right"/>
        <w:rPr>
          <w:b w:val="0"/>
          <w:sz w:val="26"/>
          <w:szCs w:val="26"/>
        </w:rPr>
      </w:pPr>
    </w:p>
    <w:p w:rsidR="00C1061E" w:rsidRPr="001E2CDF" w:rsidRDefault="00C1061E" w:rsidP="00A14A5C">
      <w:pPr>
        <w:pStyle w:val="10"/>
        <w:shd w:val="clear" w:color="auto" w:fill="auto"/>
        <w:spacing w:before="0" w:after="0"/>
        <w:ind w:left="20"/>
        <w:jc w:val="right"/>
        <w:rPr>
          <w:b w:val="0"/>
          <w:sz w:val="26"/>
          <w:szCs w:val="26"/>
        </w:rPr>
      </w:pPr>
    </w:p>
    <w:p w:rsidR="00C1061E" w:rsidRPr="001E2CDF" w:rsidRDefault="00C1061E" w:rsidP="00A14A5C">
      <w:pPr>
        <w:pStyle w:val="10"/>
        <w:shd w:val="clear" w:color="auto" w:fill="auto"/>
        <w:spacing w:before="0" w:after="0"/>
        <w:ind w:left="20"/>
        <w:jc w:val="right"/>
        <w:rPr>
          <w:b w:val="0"/>
          <w:sz w:val="26"/>
          <w:szCs w:val="26"/>
        </w:rPr>
      </w:pPr>
    </w:p>
    <w:p w:rsidR="00C1061E" w:rsidRDefault="00C1061E" w:rsidP="00A14A5C">
      <w:pPr>
        <w:pStyle w:val="10"/>
        <w:shd w:val="clear" w:color="auto" w:fill="auto"/>
        <w:spacing w:before="0" w:after="0"/>
        <w:ind w:left="20"/>
        <w:jc w:val="right"/>
        <w:rPr>
          <w:b w:val="0"/>
          <w:sz w:val="26"/>
          <w:szCs w:val="26"/>
        </w:rPr>
      </w:pPr>
    </w:p>
    <w:p w:rsidR="00C1061E" w:rsidRDefault="00C1061E" w:rsidP="00A14A5C">
      <w:pPr>
        <w:pStyle w:val="10"/>
        <w:shd w:val="clear" w:color="auto" w:fill="auto"/>
        <w:spacing w:before="0" w:after="0"/>
        <w:ind w:left="20"/>
        <w:jc w:val="right"/>
        <w:rPr>
          <w:b w:val="0"/>
          <w:sz w:val="26"/>
          <w:szCs w:val="26"/>
        </w:rPr>
      </w:pPr>
    </w:p>
    <w:p w:rsidR="00C1061E" w:rsidRDefault="00C1061E" w:rsidP="00A14A5C">
      <w:pPr>
        <w:pStyle w:val="10"/>
        <w:shd w:val="clear" w:color="auto" w:fill="auto"/>
        <w:spacing w:before="0" w:after="0"/>
        <w:ind w:left="20"/>
        <w:jc w:val="right"/>
        <w:rPr>
          <w:b w:val="0"/>
          <w:sz w:val="26"/>
          <w:szCs w:val="26"/>
        </w:rPr>
      </w:pPr>
    </w:p>
    <w:p w:rsidR="00C1061E" w:rsidRDefault="00C1061E" w:rsidP="00A14A5C">
      <w:pPr>
        <w:pStyle w:val="10"/>
        <w:shd w:val="clear" w:color="auto" w:fill="auto"/>
        <w:spacing w:before="0" w:after="0"/>
        <w:ind w:left="20"/>
        <w:jc w:val="right"/>
        <w:rPr>
          <w:b w:val="0"/>
          <w:sz w:val="26"/>
          <w:szCs w:val="26"/>
        </w:rPr>
      </w:pPr>
    </w:p>
    <w:p w:rsidR="00C1061E" w:rsidRDefault="00C1061E" w:rsidP="00A14A5C">
      <w:pPr>
        <w:pStyle w:val="10"/>
        <w:shd w:val="clear" w:color="auto" w:fill="auto"/>
        <w:spacing w:before="0" w:after="0"/>
        <w:ind w:left="20"/>
        <w:jc w:val="right"/>
        <w:rPr>
          <w:b w:val="0"/>
          <w:sz w:val="26"/>
          <w:szCs w:val="26"/>
        </w:rPr>
      </w:pPr>
    </w:p>
    <w:p w:rsidR="00C1061E" w:rsidRDefault="00C1061E" w:rsidP="00A14A5C">
      <w:pPr>
        <w:pStyle w:val="10"/>
        <w:shd w:val="clear" w:color="auto" w:fill="auto"/>
        <w:spacing w:before="0" w:after="0"/>
        <w:ind w:left="20"/>
        <w:jc w:val="right"/>
        <w:rPr>
          <w:b w:val="0"/>
          <w:sz w:val="26"/>
          <w:szCs w:val="26"/>
        </w:rPr>
      </w:pPr>
    </w:p>
    <w:p w:rsidR="00C1061E" w:rsidRDefault="00C1061E" w:rsidP="00A14A5C">
      <w:pPr>
        <w:pStyle w:val="10"/>
        <w:shd w:val="clear" w:color="auto" w:fill="auto"/>
        <w:spacing w:before="0" w:after="0"/>
        <w:ind w:left="20"/>
        <w:jc w:val="right"/>
        <w:rPr>
          <w:b w:val="0"/>
          <w:sz w:val="26"/>
          <w:szCs w:val="26"/>
        </w:rPr>
      </w:pPr>
    </w:p>
    <w:p w:rsidR="00C1061E" w:rsidRPr="00A14A5C" w:rsidRDefault="00C1061E" w:rsidP="00A14A5C">
      <w:pPr>
        <w:pStyle w:val="10"/>
        <w:shd w:val="clear" w:color="auto" w:fill="auto"/>
        <w:spacing w:before="0" w:after="0"/>
        <w:ind w:left="20"/>
        <w:jc w:val="right"/>
        <w:rPr>
          <w:b w:val="0"/>
          <w:sz w:val="26"/>
          <w:szCs w:val="26"/>
        </w:rPr>
      </w:pPr>
      <w:r w:rsidRPr="00A14A5C">
        <w:rPr>
          <w:b w:val="0"/>
          <w:sz w:val="26"/>
          <w:szCs w:val="26"/>
        </w:rPr>
        <w:t>Приложение</w:t>
      </w:r>
    </w:p>
    <w:p w:rsidR="00C1061E" w:rsidRPr="00A14A5C" w:rsidRDefault="00C1061E" w:rsidP="00A14A5C">
      <w:pPr>
        <w:pStyle w:val="10"/>
        <w:shd w:val="clear" w:color="auto" w:fill="auto"/>
        <w:spacing w:before="0" w:after="0"/>
        <w:ind w:left="20"/>
        <w:jc w:val="right"/>
        <w:rPr>
          <w:b w:val="0"/>
          <w:sz w:val="26"/>
          <w:szCs w:val="26"/>
        </w:rPr>
      </w:pPr>
      <w:r w:rsidRPr="00A14A5C">
        <w:rPr>
          <w:b w:val="0"/>
          <w:sz w:val="26"/>
          <w:szCs w:val="26"/>
        </w:rPr>
        <w:t xml:space="preserve">Утверждено </w:t>
      </w:r>
    </w:p>
    <w:p w:rsidR="00C1061E" w:rsidRPr="00A14A5C" w:rsidRDefault="00C1061E" w:rsidP="00A14A5C">
      <w:pPr>
        <w:pStyle w:val="10"/>
        <w:shd w:val="clear" w:color="auto" w:fill="auto"/>
        <w:spacing w:before="0" w:after="0"/>
        <w:ind w:left="20"/>
        <w:jc w:val="right"/>
        <w:rPr>
          <w:b w:val="0"/>
          <w:sz w:val="26"/>
          <w:szCs w:val="26"/>
        </w:rPr>
      </w:pPr>
      <w:r w:rsidRPr="00A14A5C">
        <w:rPr>
          <w:b w:val="0"/>
          <w:sz w:val="26"/>
          <w:szCs w:val="26"/>
        </w:rPr>
        <w:t xml:space="preserve">решением Думы Тернейского </w:t>
      </w:r>
    </w:p>
    <w:p w:rsidR="00C1061E" w:rsidRDefault="00C1061E" w:rsidP="00A14A5C">
      <w:pPr>
        <w:pStyle w:val="10"/>
        <w:shd w:val="clear" w:color="auto" w:fill="auto"/>
        <w:spacing w:before="0" w:after="0"/>
        <w:ind w:left="20"/>
        <w:jc w:val="right"/>
        <w:rPr>
          <w:b w:val="0"/>
          <w:sz w:val="26"/>
          <w:szCs w:val="26"/>
        </w:rPr>
      </w:pPr>
      <w:r w:rsidRPr="00A14A5C">
        <w:rPr>
          <w:b w:val="0"/>
          <w:sz w:val="26"/>
          <w:szCs w:val="26"/>
        </w:rPr>
        <w:t xml:space="preserve">муниципального округа </w:t>
      </w:r>
    </w:p>
    <w:p w:rsidR="00E20FAC" w:rsidRPr="00A14A5C" w:rsidRDefault="00E20FAC" w:rsidP="00A14A5C">
      <w:pPr>
        <w:pStyle w:val="10"/>
        <w:shd w:val="clear" w:color="auto" w:fill="auto"/>
        <w:spacing w:before="0" w:after="0"/>
        <w:ind w:left="20"/>
        <w:jc w:val="righ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от 31.01.2025 №606</w:t>
      </w:r>
    </w:p>
    <w:p w:rsidR="00C1061E" w:rsidRDefault="00C1061E" w:rsidP="00A14A5C">
      <w:pPr>
        <w:pStyle w:val="10"/>
        <w:shd w:val="clear" w:color="auto" w:fill="auto"/>
        <w:spacing w:before="0" w:after="0"/>
        <w:ind w:left="20"/>
        <w:rPr>
          <w:sz w:val="26"/>
          <w:szCs w:val="26"/>
        </w:rPr>
      </w:pPr>
    </w:p>
    <w:p w:rsidR="00C1061E" w:rsidRDefault="00C1061E" w:rsidP="00A14A5C">
      <w:pPr>
        <w:pStyle w:val="10"/>
        <w:shd w:val="clear" w:color="auto" w:fill="auto"/>
        <w:spacing w:before="0" w:after="0"/>
        <w:ind w:left="20"/>
        <w:rPr>
          <w:sz w:val="26"/>
          <w:szCs w:val="26"/>
        </w:rPr>
      </w:pPr>
      <w:r w:rsidRPr="00A14A5C">
        <w:rPr>
          <w:sz w:val="26"/>
          <w:szCs w:val="26"/>
        </w:rPr>
        <w:t>ПОЛОЖЕНИЕ О ДОРОЖНОМ ФОНДЕ</w:t>
      </w:r>
      <w:r w:rsidRPr="00A14A5C">
        <w:rPr>
          <w:sz w:val="26"/>
          <w:szCs w:val="26"/>
        </w:rPr>
        <w:br/>
        <w:t>ТЕРНЕЙСКОГО МУНИЦИПАЛЬНОГО ОКРУГА</w:t>
      </w:r>
    </w:p>
    <w:p w:rsidR="00C1061E" w:rsidRDefault="00C1061E" w:rsidP="00A14A5C">
      <w:pPr>
        <w:pStyle w:val="10"/>
        <w:shd w:val="clear" w:color="auto" w:fill="auto"/>
        <w:spacing w:before="0" w:after="0"/>
        <w:ind w:left="20"/>
        <w:rPr>
          <w:sz w:val="26"/>
          <w:szCs w:val="26"/>
        </w:rPr>
      </w:pPr>
    </w:p>
    <w:p w:rsidR="00C1061E" w:rsidRPr="00A14A5C" w:rsidRDefault="00C1061E" w:rsidP="00A14A5C">
      <w:pPr>
        <w:pStyle w:val="10"/>
        <w:shd w:val="clear" w:color="auto" w:fill="auto"/>
        <w:spacing w:before="0" w:after="0"/>
        <w:ind w:left="20"/>
        <w:rPr>
          <w:sz w:val="26"/>
          <w:szCs w:val="26"/>
        </w:rPr>
      </w:pPr>
    </w:p>
    <w:p w:rsidR="00C1061E" w:rsidRDefault="00C1061E" w:rsidP="00A14A5C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6"/>
          <w:szCs w:val="26"/>
        </w:rPr>
      </w:pPr>
      <w:r w:rsidRPr="00A14A5C">
        <w:rPr>
          <w:rFonts w:ascii="Times New Roman" w:hAnsi="Times New Roman"/>
          <w:sz w:val="26"/>
          <w:szCs w:val="26"/>
        </w:rPr>
        <w:t>Общие положения</w:t>
      </w:r>
    </w:p>
    <w:p w:rsidR="00C1061E" w:rsidRDefault="00C1061E" w:rsidP="00A14A5C">
      <w:pPr>
        <w:pStyle w:val="a3"/>
        <w:rPr>
          <w:rFonts w:ascii="Times New Roman" w:hAnsi="Times New Roman"/>
          <w:sz w:val="26"/>
          <w:szCs w:val="26"/>
        </w:rPr>
      </w:pPr>
    </w:p>
    <w:p w:rsidR="00C1061E" w:rsidRPr="00A14A5C" w:rsidRDefault="00C1061E" w:rsidP="00A14A5C">
      <w:pPr>
        <w:pStyle w:val="20"/>
        <w:shd w:val="clear" w:color="auto" w:fill="auto"/>
        <w:spacing w:after="271" w:line="276" w:lineRule="auto"/>
        <w:ind w:firstLine="640"/>
        <w:jc w:val="both"/>
        <w:rPr>
          <w:sz w:val="26"/>
          <w:szCs w:val="26"/>
        </w:rPr>
      </w:pPr>
      <w:r w:rsidRPr="00A14A5C">
        <w:rPr>
          <w:sz w:val="26"/>
          <w:szCs w:val="26"/>
        </w:rPr>
        <w:t xml:space="preserve">Настоящим Положением в соответствии с Федеральным законом от 03.12.2012 </w:t>
      </w:r>
      <w:r w:rsidRPr="00A14A5C">
        <w:rPr>
          <w:sz w:val="26"/>
          <w:szCs w:val="26"/>
          <w:lang w:val="en-US"/>
        </w:rPr>
        <w:t>N</w:t>
      </w:r>
      <w:r w:rsidRPr="00A14A5C">
        <w:rPr>
          <w:sz w:val="26"/>
          <w:szCs w:val="26"/>
        </w:rPr>
        <w:t xml:space="preserve"> 244-ФЗ "О внесении изменений в Бюджетный кодекс Российской Федерации и отдельные законодательные акты Российской Федерации", ст. 179.4 Бюджетного кодекса Российской Федерации и с учетом положений Федерального закона от 08.11.2007 №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определяются порядок формирования дорожного фонда Тернейского муниципального округа и использования бюджетных ассигнований дорожного фонда Тернейского муниципального округа.</w:t>
      </w:r>
    </w:p>
    <w:p w:rsidR="00C1061E" w:rsidRDefault="00C1061E" w:rsidP="00A14A5C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Дорожный фонд Тернейского муниципального округа</w:t>
      </w:r>
    </w:p>
    <w:p w:rsidR="00C1061E" w:rsidRDefault="00C1061E" w:rsidP="00A14A5C">
      <w:pPr>
        <w:pStyle w:val="a3"/>
        <w:rPr>
          <w:rFonts w:ascii="Times New Roman" w:hAnsi="Times New Roman"/>
          <w:sz w:val="26"/>
          <w:szCs w:val="26"/>
        </w:rPr>
      </w:pPr>
    </w:p>
    <w:p w:rsidR="00C1061E" w:rsidRPr="00A14A5C" w:rsidRDefault="00C1061E" w:rsidP="00A14A5C">
      <w:pPr>
        <w:pStyle w:val="20"/>
        <w:numPr>
          <w:ilvl w:val="1"/>
          <w:numId w:val="1"/>
        </w:numPr>
        <w:shd w:val="clear" w:color="auto" w:fill="auto"/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Дорожный фонд Тернейского муниципального округа </w:t>
      </w:r>
      <w:r w:rsidRPr="00A14A5C">
        <w:rPr>
          <w:sz w:val="26"/>
          <w:szCs w:val="26"/>
        </w:rPr>
        <w:t xml:space="preserve">(далее- Дорожный фонд) - часть средств бюджета Тернейского муниципального </w:t>
      </w:r>
      <w:r>
        <w:rPr>
          <w:sz w:val="26"/>
          <w:szCs w:val="26"/>
        </w:rPr>
        <w:t>округа</w:t>
      </w:r>
      <w:r w:rsidRPr="00A14A5C">
        <w:rPr>
          <w:sz w:val="26"/>
          <w:szCs w:val="26"/>
        </w:rPr>
        <w:t xml:space="preserve">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 вне границ населенных пунктов в границах Тернейского муниципального </w:t>
      </w:r>
      <w:r>
        <w:rPr>
          <w:sz w:val="26"/>
          <w:szCs w:val="26"/>
        </w:rPr>
        <w:t>округа</w:t>
      </w:r>
      <w:r w:rsidRPr="00A14A5C">
        <w:rPr>
          <w:sz w:val="26"/>
          <w:szCs w:val="26"/>
        </w:rPr>
        <w:t xml:space="preserve">, автомобильных дорог местного значения в границах населенных пунктов сельских поселений, образованных в границах Тернейского муниципального </w:t>
      </w:r>
      <w:r>
        <w:rPr>
          <w:sz w:val="26"/>
          <w:szCs w:val="26"/>
        </w:rPr>
        <w:t>округа</w:t>
      </w:r>
      <w:r w:rsidRPr="00A14A5C">
        <w:rPr>
          <w:sz w:val="26"/>
          <w:szCs w:val="26"/>
        </w:rPr>
        <w:t>, а также капитального ремонта и ремонта дворовых территорий, проездов к дворовым территориям многоквартирных домов населенных пунктов.</w:t>
      </w:r>
    </w:p>
    <w:p w:rsidR="00C1061E" w:rsidRDefault="00C1061E" w:rsidP="00A14A5C">
      <w:pPr>
        <w:pStyle w:val="20"/>
        <w:shd w:val="clear" w:color="auto" w:fill="auto"/>
        <w:spacing w:after="262" w:line="276" w:lineRule="auto"/>
        <w:ind w:left="20"/>
        <w:jc w:val="both"/>
        <w:rPr>
          <w:color w:val="000000"/>
          <w:sz w:val="26"/>
          <w:szCs w:val="26"/>
          <w:lang w:eastAsia="ru-RU"/>
        </w:rPr>
      </w:pPr>
      <w:r w:rsidRPr="00A14A5C">
        <w:rPr>
          <w:sz w:val="26"/>
          <w:szCs w:val="26"/>
        </w:rPr>
        <w:t>Для целей настоящего Положения используется следующее понятие:</w:t>
      </w:r>
      <w:r>
        <w:rPr>
          <w:sz w:val="26"/>
          <w:szCs w:val="26"/>
        </w:rPr>
        <w:t xml:space="preserve"> </w:t>
      </w:r>
      <w:r w:rsidRPr="00A14A5C">
        <w:rPr>
          <w:color w:val="000000"/>
          <w:sz w:val="26"/>
          <w:szCs w:val="26"/>
          <w:lang w:eastAsia="ru-RU"/>
        </w:rPr>
        <w:t xml:space="preserve">автомобильными дорогами общего пользования являются автомобильные дороги общего пользования местного значения в границах Тернейского муниципального </w:t>
      </w:r>
      <w:r>
        <w:rPr>
          <w:color w:val="000000"/>
          <w:sz w:val="26"/>
          <w:szCs w:val="26"/>
          <w:lang w:eastAsia="ru-RU"/>
        </w:rPr>
        <w:t>округа</w:t>
      </w:r>
      <w:r w:rsidRPr="00A14A5C">
        <w:rPr>
          <w:color w:val="000000"/>
          <w:sz w:val="26"/>
          <w:szCs w:val="26"/>
          <w:lang w:eastAsia="ru-RU"/>
        </w:rPr>
        <w:t xml:space="preserve">, автомобильные дороги общего пользования местного значения в границах населенных пунктов сельских поселений, образованных в границах Тернейского муниципального </w:t>
      </w:r>
      <w:r>
        <w:rPr>
          <w:color w:val="000000"/>
          <w:sz w:val="26"/>
          <w:szCs w:val="26"/>
          <w:lang w:eastAsia="ru-RU"/>
        </w:rPr>
        <w:t>округа</w:t>
      </w:r>
      <w:r w:rsidRPr="00A14A5C">
        <w:rPr>
          <w:color w:val="000000"/>
          <w:sz w:val="26"/>
          <w:szCs w:val="26"/>
          <w:lang w:eastAsia="ru-RU"/>
        </w:rPr>
        <w:t xml:space="preserve">, за исключением автомобильных дорог общего пользования федерального, регионального или межмуниципального значения, частных автомобильных дорог. Перечень автомобильных дорог общего пользования местного значения муниципального </w:t>
      </w:r>
      <w:r>
        <w:rPr>
          <w:color w:val="000000"/>
          <w:sz w:val="26"/>
          <w:szCs w:val="26"/>
          <w:lang w:eastAsia="ru-RU"/>
        </w:rPr>
        <w:t>округа</w:t>
      </w:r>
      <w:r w:rsidRPr="00A14A5C">
        <w:rPr>
          <w:color w:val="000000"/>
          <w:sz w:val="26"/>
          <w:szCs w:val="26"/>
          <w:lang w:eastAsia="ru-RU"/>
        </w:rPr>
        <w:t xml:space="preserve"> утверждается администрацией </w:t>
      </w:r>
      <w:r>
        <w:rPr>
          <w:color w:val="000000"/>
          <w:sz w:val="26"/>
          <w:szCs w:val="26"/>
          <w:lang w:eastAsia="ru-RU"/>
        </w:rPr>
        <w:t>Тернейского муниципального округа.</w:t>
      </w:r>
    </w:p>
    <w:p w:rsidR="00C1061E" w:rsidRDefault="00C1061E" w:rsidP="002800E5">
      <w:pPr>
        <w:pStyle w:val="20"/>
        <w:numPr>
          <w:ilvl w:val="0"/>
          <w:numId w:val="1"/>
        </w:numPr>
        <w:shd w:val="clear" w:color="auto" w:fill="auto"/>
        <w:spacing w:after="262" w:line="276" w:lineRule="auto"/>
        <w:rPr>
          <w:sz w:val="26"/>
          <w:szCs w:val="26"/>
        </w:rPr>
      </w:pPr>
      <w:r>
        <w:rPr>
          <w:sz w:val="26"/>
          <w:szCs w:val="26"/>
        </w:rPr>
        <w:t>Источники формирования дорожного фонда</w:t>
      </w:r>
    </w:p>
    <w:p w:rsidR="00C1061E" w:rsidRPr="002800E5" w:rsidRDefault="00C1061E" w:rsidP="002800E5">
      <w:pPr>
        <w:pStyle w:val="20"/>
        <w:shd w:val="clear" w:color="auto" w:fill="auto"/>
        <w:tabs>
          <w:tab w:val="left" w:pos="1021"/>
        </w:tabs>
        <w:spacing w:line="276" w:lineRule="auto"/>
        <w:ind w:firstLine="709"/>
        <w:jc w:val="both"/>
        <w:rPr>
          <w:color w:val="000000"/>
          <w:sz w:val="26"/>
          <w:szCs w:val="26"/>
          <w:lang w:eastAsia="ru-RU"/>
        </w:rPr>
      </w:pPr>
      <w:r w:rsidRPr="002800E5">
        <w:rPr>
          <w:sz w:val="26"/>
          <w:szCs w:val="26"/>
        </w:rPr>
        <w:lastRenderedPageBreak/>
        <w:t>3.</w:t>
      </w:r>
      <w:r w:rsidRPr="002800E5">
        <w:rPr>
          <w:color w:val="000000"/>
          <w:sz w:val="26"/>
          <w:szCs w:val="26"/>
          <w:lang w:eastAsia="ru-RU"/>
        </w:rPr>
        <w:t>1.</w:t>
      </w:r>
      <w:r w:rsidRPr="002800E5">
        <w:rPr>
          <w:color w:val="000000"/>
          <w:sz w:val="26"/>
          <w:szCs w:val="26"/>
          <w:lang w:eastAsia="ru-RU"/>
        </w:rPr>
        <w:tab/>
        <w:t xml:space="preserve"> Объем бюджетных ассигнований дорожного фонда утверждается решением Думы Тернейского муниципального округа о бюджете на очередной финансовый год и плановый период в размере не менее прогнозируемого объема доходов бюджета от:</w:t>
      </w:r>
    </w:p>
    <w:p w:rsidR="00C1061E" w:rsidRPr="002800E5" w:rsidRDefault="00C1061E" w:rsidP="00927D1B">
      <w:pPr>
        <w:pStyle w:val="20"/>
        <w:shd w:val="clear" w:color="auto" w:fill="auto"/>
        <w:tabs>
          <w:tab w:val="left" w:pos="739"/>
        </w:tabs>
        <w:spacing w:line="276" w:lineRule="auto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ab/>
      </w:r>
      <w:r w:rsidRPr="002800E5">
        <w:rPr>
          <w:color w:val="000000"/>
          <w:sz w:val="26"/>
          <w:szCs w:val="26"/>
          <w:lang w:eastAsia="ru-RU"/>
        </w:rPr>
        <w:t>-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бюджет;</w:t>
      </w:r>
    </w:p>
    <w:p w:rsidR="00C1061E" w:rsidRPr="002800E5" w:rsidRDefault="00C1061E" w:rsidP="00927D1B">
      <w:pPr>
        <w:pStyle w:val="20"/>
        <w:shd w:val="clear" w:color="auto" w:fill="auto"/>
        <w:tabs>
          <w:tab w:val="left" w:pos="739"/>
        </w:tabs>
        <w:spacing w:line="276" w:lineRule="auto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ab/>
      </w:r>
      <w:r w:rsidRPr="002800E5">
        <w:rPr>
          <w:color w:val="000000"/>
          <w:sz w:val="26"/>
          <w:szCs w:val="26"/>
          <w:lang w:eastAsia="ru-RU"/>
        </w:rPr>
        <w:t>- субсидии из федерального и регионального дорожного фонда на финансовое обеспечение дорожной деятельности;</w:t>
      </w:r>
    </w:p>
    <w:p w:rsidR="00C1061E" w:rsidRDefault="00C1061E" w:rsidP="00927D1B">
      <w:pPr>
        <w:pStyle w:val="20"/>
        <w:shd w:val="clear" w:color="auto" w:fill="auto"/>
        <w:tabs>
          <w:tab w:val="left" w:pos="739"/>
        </w:tabs>
        <w:spacing w:line="276" w:lineRule="auto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ab/>
      </w:r>
      <w:r w:rsidRPr="002800E5">
        <w:rPr>
          <w:color w:val="000000"/>
          <w:sz w:val="26"/>
          <w:szCs w:val="26"/>
          <w:lang w:eastAsia="ru-RU"/>
        </w:rPr>
        <w:t>- безвозмездных поступлений от физических и юридических лиц на финансовое обеспечение дорожной деятельности, в том числе добровольных пожертвований;</w:t>
      </w:r>
    </w:p>
    <w:p w:rsidR="00C1061E" w:rsidRPr="002800E5" w:rsidRDefault="00C1061E" w:rsidP="00927D1B">
      <w:pPr>
        <w:pStyle w:val="20"/>
        <w:shd w:val="clear" w:color="auto" w:fill="auto"/>
        <w:tabs>
          <w:tab w:val="left" w:pos="739"/>
        </w:tabs>
        <w:spacing w:line="276" w:lineRule="auto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ab/>
      </w:r>
      <w:r w:rsidRPr="002800E5">
        <w:rPr>
          <w:color w:val="000000"/>
          <w:sz w:val="26"/>
          <w:szCs w:val="26"/>
          <w:lang w:eastAsia="ru-RU"/>
        </w:rPr>
        <w:t xml:space="preserve">-денежных средств, поступающих в бюджет Тернейского муниципального </w:t>
      </w:r>
      <w:r>
        <w:rPr>
          <w:color w:val="000000"/>
          <w:sz w:val="26"/>
          <w:szCs w:val="26"/>
          <w:lang w:eastAsia="ru-RU"/>
        </w:rPr>
        <w:t>округа</w:t>
      </w:r>
      <w:r w:rsidRPr="002800E5">
        <w:rPr>
          <w:color w:val="000000"/>
          <w:sz w:val="26"/>
          <w:szCs w:val="26"/>
          <w:lang w:eastAsia="ru-RU"/>
        </w:rPr>
        <w:t xml:space="preserve"> от уплаты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Дорожного фонда, или в связи с уклонением от заключения таких контрактов или иных договоров</w:t>
      </w:r>
    </w:p>
    <w:p w:rsidR="00C1061E" w:rsidRDefault="00C1061E" w:rsidP="00927D1B">
      <w:pPr>
        <w:pStyle w:val="20"/>
        <w:shd w:val="clear" w:color="auto" w:fill="auto"/>
        <w:spacing w:line="276" w:lineRule="auto"/>
        <w:ind w:firstLine="709"/>
        <w:jc w:val="both"/>
        <w:rPr>
          <w:color w:val="000000"/>
          <w:sz w:val="26"/>
          <w:szCs w:val="26"/>
          <w:lang w:eastAsia="ru-RU"/>
        </w:rPr>
      </w:pPr>
      <w:r w:rsidRPr="002800E5">
        <w:rPr>
          <w:color w:val="000000"/>
          <w:sz w:val="26"/>
          <w:szCs w:val="26"/>
          <w:lang w:eastAsia="ru-RU"/>
        </w:rPr>
        <w:t>3.2.</w:t>
      </w:r>
      <w:r w:rsidRPr="002800E5">
        <w:rPr>
          <w:color w:val="000000"/>
          <w:sz w:val="26"/>
          <w:szCs w:val="26"/>
          <w:lang w:eastAsia="ru-RU"/>
        </w:rPr>
        <w:tab/>
        <w:t>Бюджетные ассигнования дорожного фонда, неиспользованные в текущем финансовом году, направляются на увеличение бюджетных ассигнований дорожного фонда в очередном финансовом году</w:t>
      </w:r>
      <w:r>
        <w:rPr>
          <w:color w:val="000000"/>
          <w:sz w:val="26"/>
          <w:szCs w:val="26"/>
          <w:lang w:eastAsia="ru-RU"/>
        </w:rPr>
        <w:t>.</w:t>
      </w:r>
    </w:p>
    <w:p w:rsidR="00C1061E" w:rsidRDefault="00C1061E" w:rsidP="00927D1B">
      <w:pPr>
        <w:pStyle w:val="20"/>
        <w:shd w:val="clear" w:color="auto" w:fill="auto"/>
        <w:spacing w:line="276" w:lineRule="auto"/>
        <w:ind w:firstLine="709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 xml:space="preserve">3.3. </w:t>
      </w:r>
      <w:r w:rsidRPr="002800E5">
        <w:rPr>
          <w:color w:val="000000"/>
          <w:sz w:val="26"/>
          <w:szCs w:val="26"/>
          <w:lang w:eastAsia="ru-RU"/>
        </w:rPr>
        <w:t>Увеличение объема бюджетных ассигнований Дорожного фонда подлежит корректировке в очередном финансовом году в пределах разницы между фактически поступившим в отчетном финансовом году объемом указанных в пункте 3.1 настоящего Положения доходов и фактически произведенными расходами Дорожного фонда при ее положительном значении</w:t>
      </w:r>
    </w:p>
    <w:p w:rsidR="00C1061E" w:rsidRDefault="00C1061E" w:rsidP="00927D1B">
      <w:pPr>
        <w:pStyle w:val="20"/>
        <w:shd w:val="clear" w:color="auto" w:fill="auto"/>
        <w:spacing w:after="262" w:line="276" w:lineRule="auto"/>
        <w:ind w:firstLine="709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4. Направления использования средств дорожного фонда</w:t>
      </w:r>
    </w:p>
    <w:p w:rsidR="00C1061E" w:rsidRDefault="00C1061E" w:rsidP="00927D1B">
      <w:pPr>
        <w:pStyle w:val="20"/>
        <w:shd w:val="clear" w:color="auto" w:fill="auto"/>
        <w:spacing w:line="276" w:lineRule="auto"/>
        <w:ind w:firstLine="709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 xml:space="preserve">4.1. </w:t>
      </w:r>
      <w:r w:rsidRPr="00927D1B">
        <w:rPr>
          <w:color w:val="000000"/>
          <w:sz w:val="26"/>
          <w:szCs w:val="26"/>
          <w:lang w:eastAsia="ru-RU"/>
        </w:rPr>
        <w:t xml:space="preserve">Использование бюджетных ассигнований Дорожного фонда направляются на обеспечение дорожной деятельности в отношении автомобильных дорог общего пользования, а также капитального ремонта и ремонта дворовых территорий, проездов к дворовым территориям многоквартирных домов населенных пунктов в соответствии с муниципальными правовыми актами Думы Тернейского муниципального </w:t>
      </w:r>
      <w:r>
        <w:rPr>
          <w:color w:val="000000"/>
          <w:sz w:val="26"/>
          <w:szCs w:val="26"/>
          <w:lang w:eastAsia="ru-RU"/>
        </w:rPr>
        <w:t>округа</w:t>
      </w:r>
      <w:r w:rsidRPr="00927D1B">
        <w:rPr>
          <w:color w:val="000000"/>
          <w:sz w:val="26"/>
          <w:szCs w:val="26"/>
          <w:lang w:eastAsia="ru-RU"/>
        </w:rPr>
        <w:t>, принимаемыми в соответствии с законодательством Российской Федерации об автомобильных дорогах и о дорожной деятельности</w:t>
      </w:r>
      <w:r>
        <w:rPr>
          <w:color w:val="000000"/>
          <w:sz w:val="26"/>
          <w:szCs w:val="26"/>
          <w:lang w:eastAsia="ru-RU"/>
        </w:rPr>
        <w:t>.</w:t>
      </w:r>
    </w:p>
    <w:p w:rsidR="00C1061E" w:rsidRPr="00927D1B" w:rsidRDefault="00C1061E" w:rsidP="00927D1B">
      <w:pPr>
        <w:pStyle w:val="20"/>
        <w:shd w:val="clear" w:color="auto" w:fill="auto"/>
        <w:spacing w:line="276" w:lineRule="auto"/>
        <w:ind w:firstLine="580"/>
        <w:jc w:val="both"/>
        <w:rPr>
          <w:color w:val="000000"/>
          <w:sz w:val="26"/>
          <w:szCs w:val="26"/>
          <w:lang w:eastAsia="ru-RU"/>
        </w:rPr>
      </w:pPr>
      <w:r w:rsidRPr="00927D1B">
        <w:rPr>
          <w:color w:val="000000"/>
          <w:sz w:val="26"/>
          <w:szCs w:val="26"/>
          <w:lang w:eastAsia="ru-RU"/>
        </w:rPr>
        <w:t>К целевым направлениям расходов Дорожного фонда относятся:</w:t>
      </w:r>
    </w:p>
    <w:p w:rsidR="00C1061E" w:rsidRDefault="00C1061E" w:rsidP="00927D1B">
      <w:pPr>
        <w:pStyle w:val="20"/>
        <w:numPr>
          <w:ilvl w:val="0"/>
          <w:numId w:val="3"/>
        </w:numPr>
        <w:shd w:val="clear" w:color="auto" w:fill="auto"/>
        <w:tabs>
          <w:tab w:val="left" w:pos="912"/>
        </w:tabs>
        <w:spacing w:line="276" w:lineRule="auto"/>
        <w:ind w:firstLine="580"/>
        <w:jc w:val="both"/>
        <w:rPr>
          <w:color w:val="000000"/>
          <w:sz w:val="26"/>
          <w:szCs w:val="26"/>
          <w:lang w:eastAsia="ru-RU"/>
        </w:rPr>
      </w:pPr>
      <w:r w:rsidRPr="00927D1B">
        <w:rPr>
          <w:color w:val="000000"/>
          <w:sz w:val="26"/>
          <w:szCs w:val="26"/>
          <w:lang w:eastAsia="ru-RU"/>
        </w:rPr>
        <w:t>выполнение работ по капитальному ремонту, ремонту, и содержанию автомобильных дорог общего пользования и искусственных сооружений на них (включая разработку проектной документации и проведение необходимых экспертиз);</w:t>
      </w:r>
    </w:p>
    <w:p w:rsidR="00C1061E" w:rsidRPr="00927D1B" w:rsidRDefault="00C1061E" w:rsidP="00927D1B">
      <w:pPr>
        <w:pStyle w:val="20"/>
        <w:numPr>
          <w:ilvl w:val="0"/>
          <w:numId w:val="3"/>
        </w:numPr>
        <w:shd w:val="clear" w:color="auto" w:fill="auto"/>
        <w:tabs>
          <w:tab w:val="left" w:pos="912"/>
        </w:tabs>
        <w:spacing w:line="276" w:lineRule="auto"/>
        <w:ind w:firstLine="580"/>
        <w:jc w:val="both"/>
        <w:rPr>
          <w:color w:val="000000"/>
          <w:sz w:val="26"/>
          <w:szCs w:val="26"/>
          <w:lang w:eastAsia="ru-RU"/>
        </w:rPr>
      </w:pPr>
      <w:r w:rsidRPr="00927D1B">
        <w:rPr>
          <w:color w:val="000000"/>
          <w:sz w:val="26"/>
          <w:szCs w:val="26"/>
          <w:lang w:eastAsia="ru-RU"/>
        </w:rPr>
        <w:t>проектирование и строительство (реконструкция) автомобильных дорог общего пользования с твердым покрытием (включая разработку документации по планировке территории в целях размещения автомобильных дорог, инженерные изыскания, разработку проектной документации, проведение необходимых экспертиз, выкуп земельных участков и подготовку территории строительства);</w:t>
      </w:r>
    </w:p>
    <w:p w:rsidR="00C1061E" w:rsidRPr="00927D1B" w:rsidRDefault="00C1061E" w:rsidP="00927D1B">
      <w:pPr>
        <w:pStyle w:val="20"/>
        <w:numPr>
          <w:ilvl w:val="0"/>
          <w:numId w:val="3"/>
        </w:numPr>
        <w:shd w:val="clear" w:color="auto" w:fill="auto"/>
        <w:tabs>
          <w:tab w:val="left" w:pos="912"/>
        </w:tabs>
        <w:spacing w:line="276" w:lineRule="auto"/>
        <w:ind w:firstLine="580"/>
        <w:jc w:val="both"/>
        <w:rPr>
          <w:color w:val="000000"/>
          <w:sz w:val="26"/>
          <w:szCs w:val="26"/>
          <w:lang w:eastAsia="ru-RU"/>
        </w:rPr>
      </w:pPr>
      <w:r w:rsidRPr="00927D1B">
        <w:rPr>
          <w:color w:val="000000"/>
          <w:sz w:val="26"/>
          <w:szCs w:val="26"/>
          <w:lang w:eastAsia="ru-RU"/>
        </w:rPr>
        <w:t>обустройство автомобильных дорог общего пользования в целях повышения безопасности дорожного движения;</w:t>
      </w:r>
    </w:p>
    <w:p w:rsidR="00C1061E" w:rsidRPr="00927D1B" w:rsidRDefault="00C1061E" w:rsidP="00927D1B">
      <w:pPr>
        <w:pStyle w:val="20"/>
        <w:numPr>
          <w:ilvl w:val="0"/>
          <w:numId w:val="3"/>
        </w:numPr>
        <w:shd w:val="clear" w:color="auto" w:fill="auto"/>
        <w:tabs>
          <w:tab w:val="left" w:pos="912"/>
        </w:tabs>
        <w:spacing w:line="276" w:lineRule="auto"/>
        <w:ind w:firstLine="580"/>
        <w:jc w:val="both"/>
        <w:rPr>
          <w:color w:val="000000"/>
          <w:sz w:val="26"/>
          <w:szCs w:val="26"/>
          <w:lang w:eastAsia="ru-RU"/>
        </w:rPr>
      </w:pPr>
      <w:r w:rsidRPr="00927D1B">
        <w:rPr>
          <w:color w:val="000000"/>
          <w:sz w:val="26"/>
          <w:szCs w:val="26"/>
          <w:lang w:eastAsia="ru-RU"/>
        </w:rPr>
        <w:t xml:space="preserve">осуществление иных мероприятий в отношении автомобильных дорог общего </w:t>
      </w:r>
      <w:r w:rsidRPr="00927D1B">
        <w:rPr>
          <w:color w:val="000000"/>
          <w:sz w:val="26"/>
          <w:szCs w:val="26"/>
          <w:lang w:eastAsia="ru-RU"/>
        </w:rPr>
        <w:lastRenderedPageBreak/>
        <w:t>пользования.</w:t>
      </w:r>
    </w:p>
    <w:p w:rsidR="00C1061E" w:rsidRDefault="00C1061E" w:rsidP="00927D1B">
      <w:pPr>
        <w:pStyle w:val="20"/>
        <w:numPr>
          <w:ilvl w:val="0"/>
          <w:numId w:val="3"/>
        </w:numPr>
        <w:shd w:val="clear" w:color="auto" w:fill="auto"/>
        <w:tabs>
          <w:tab w:val="left" w:pos="912"/>
        </w:tabs>
        <w:spacing w:line="276" w:lineRule="auto"/>
        <w:ind w:firstLine="580"/>
        <w:jc w:val="both"/>
        <w:rPr>
          <w:color w:val="000000"/>
          <w:sz w:val="26"/>
          <w:szCs w:val="26"/>
          <w:lang w:eastAsia="ru-RU"/>
        </w:rPr>
      </w:pPr>
      <w:r w:rsidRPr="00927D1B">
        <w:rPr>
          <w:color w:val="000000"/>
          <w:sz w:val="26"/>
          <w:szCs w:val="26"/>
          <w:lang w:eastAsia="ru-RU"/>
        </w:rPr>
        <w:t>финансирование мероприятий дорожной деятельности в рамках муниципальных программ, действующих на террито</w:t>
      </w:r>
      <w:r>
        <w:rPr>
          <w:color w:val="000000"/>
          <w:sz w:val="26"/>
          <w:szCs w:val="26"/>
          <w:lang w:eastAsia="ru-RU"/>
        </w:rPr>
        <w:t>рии Тернейского муниципального округа.</w:t>
      </w:r>
    </w:p>
    <w:p w:rsidR="00C1061E" w:rsidRDefault="00C1061E" w:rsidP="00927D1B">
      <w:pPr>
        <w:pStyle w:val="20"/>
        <w:shd w:val="clear" w:color="auto" w:fill="auto"/>
        <w:tabs>
          <w:tab w:val="left" w:pos="912"/>
        </w:tabs>
        <w:spacing w:line="276" w:lineRule="auto"/>
        <w:ind w:firstLine="580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 xml:space="preserve">4.2. </w:t>
      </w:r>
      <w:r w:rsidRPr="00927D1B">
        <w:rPr>
          <w:color w:val="000000"/>
          <w:sz w:val="26"/>
          <w:szCs w:val="26"/>
          <w:lang w:eastAsia="ru-RU"/>
        </w:rPr>
        <w:t>Бюджетные ассигнования дорожного фонда не могут быть использованы на другие цели, несоответствующие их назначению</w:t>
      </w:r>
      <w:r>
        <w:rPr>
          <w:color w:val="000000"/>
          <w:sz w:val="26"/>
          <w:szCs w:val="26"/>
          <w:lang w:eastAsia="ru-RU"/>
        </w:rPr>
        <w:t>.</w:t>
      </w:r>
    </w:p>
    <w:p w:rsidR="00C1061E" w:rsidRPr="00927D1B" w:rsidRDefault="00C1061E" w:rsidP="00927D1B">
      <w:pPr>
        <w:pStyle w:val="20"/>
        <w:shd w:val="clear" w:color="auto" w:fill="auto"/>
        <w:tabs>
          <w:tab w:val="left" w:pos="912"/>
        </w:tabs>
        <w:spacing w:line="276" w:lineRule="auto"/>
        <w:ind w:firstLine="567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 xml:space="preserve">4.3. </w:t>
      </w:r>
      <w:r w:rsidRPr="00927D1B">
        <w:rPr>
          <w:color w:val="000000"/>
          <w:sz w:val="26"/>
          <w:szCs w:val="26"/>
          <w:lang w:eastAsia="ru-RU"/>
        </w:rPr>
        <w:t xml:space="preserve">Главным получателем и распорядителем средств Дорожного фонда является администрация Тернейского муниципального </w:t>
      </w:r>
      <w:r>
        <w:rPr>
          <w:color w:val="000000"/>
          <w:sz w:val="26"/>
          <w:szCs w:val="26"/>
          <w:lang w:eastAsia="ru-RU"/>
        </w:rPr>
        <w:t>округа</w:t>
      </w:r>
      <w:r w:rsidRPr="00927D1B">
        <w:rPr>
          <w:color w:val="000000"/>
          <w:sz w:val="26"/>
          <w:szCs w:val="26"/>
          <w:lang w:eastAsia="ru-RU"/>
        </w:rPr>
        <w:t xml:space="preserve"> (далее - администрация).</w:t>
      </w:r>
    </w:p>
    <w:p w:rsidR="00C1061E" w:rsidRPr="00927D1B" w:rsidRDefault="00C1061E" w:rsidP="00927D1B">
      <w:pPr>
        <w:pStyle w:val="20"/>
        <w:shd w:val="clear" w:color="auto" w:fill="auto"/>
        <w:tabs>
          <w:tab w:val="left" w:pos="912"/>
        </w:tabs>
        <w:spacing w:line="276" w:lineRule="auto"/>
        <w:ind w:firstLine="567"/>
        <w:jc w:val="both"/>
        <w:rPr>
          <w:color w:val="000000"/>
          <w:sz w:val="26"/>
          <w:szCs w:val="26"/>
          <w:lang w:eastAsia="ru-RU"/>
        </w:rPr>
      </w:pPr>
      <w:r w:rsidRPr="00927D1B">
        <w:rPr>
          <w:color w:val="000000"/>
          <w:sz w:val="26"/>
          <w:szCs w:val="26"/>
          <w:lang w:eastAsia="ru-RU"/>
        </w:rPr>
        <w:t>Администрация в соответствии с действующим законодательством заключает и исполняет муниципальные контракты на осуществление дорожной деятельности в отношении автомобильных дорог общего пользования.</w:t>
      </w:r>
    </w:p>
    <w:p w:rsidR="00C1061E" w:rsidRPr="00927D1B" w:rsidRDefault="00C1061E" w:rsidP="00927D1B">
      <w:pPr>
        <w:pStyle w:val="20"/>
        <w:shd w:val="clear" w:color="auto" w:fill="auto"/>
        <w:tabs>
          <w:tab w:val="left" w:pos="912"/>
        </w:tabs>
        <w:spacing w:line="276" w:lineRule="auto"/>
        <w:ind w:firstLine="567"/>
        <w:jc w:val="both"/>
        <w:rPr>
          <w:color w:val="000000"/>
          <w:sz w:val="26"/>
          <w:szCs w:val="26"/>
          <w:lang w:eastAsia="ru-RU"/>
        </w:rPr>
      </w:pPr>
      <w:r w:rsidRPr="00927D1B">
        <w:rPr>
          <w:color w:val="000000"/>
          <w:sz w:val="26"/>
          <w:szCs w:val="26"/>
          <w:lang w:eastAsia="ru-RU"/>
        </w:rPr>
        <w:t xml:space="preserve">Расходование средств Дорожного фонда осуществляется в соответствии со сводной бюджетной росписью в пределах лимитов бюджетных обязательств и кассовым планом исполнения бюджета Тернейского муниципального </w:t>
      </w:r>
      <w:r>
        <w:rPr>
          <w:color w:val="000000"/>
          <w:sz w:val="26"/>
          <w:szCs w:val="26"/>
          <w:lang w:eastAsia="ru-RU"/>
        </w:rPr>
        <w:t>округа</w:t>
      </w:r>
      <w:r w:rsidRPr="00927D1B">
        <w:rPr>
          <w:color w:val="000000"/>
          <w:sz w:val="26"/>
          <w:szCs w:val="26"/>
          <w:lang w:eastAsia="ru-RU"/>
        </w:rPr>
        <w:t xml:space="preserve"> на текущий финансовый год.</w:t>
      </w:r>
    </w:p>
    <w:p w:rsidR="00C1061E" w:rsidRDefault="00C1061E" w:rsidP="00927D1B">
      <w:pPr>
        <w:pStyle w:val="20"/>
        <w:shd w:val="clear" w:color="auto" w:fill="auto"/>
        <w:tabs>
          <w:tab w:val="left" w:pos="912"/>
        </w:tabs>
        <w:spacing w:line="276" w:lineRule="auto"/>
        <w:ind w:firstLine="567"/>
        <w:jc w:val="both"/>
        <w:rPr>
          <w:color w:val="000000"/>
          <w:sz w:val="26"/>
          <w:szCs w:val="26"/>
          <w:lang w:eastAsia="ru-RU"/>
        </w:rPr>
      </w:pPr>
      <w:r w:rsidRPr="00927D1B">
        <w:rPr>
          <w:color w:val="000000"/>
          <w:sz w:val="26"/>
          <w:szCs w:val="26"/>
          <w:lang w:eastAsia="ru-RU"/>
        </w:rPr>
        <w:t xml:space="preserve">Перечень объектов капитального ремонта, ремонта автомобильных дорог общего пользования, перечень объектов строительства и реконструкции, автомобильных дорог общего пользования утверждается постановлением администрации Тернейского муниципального </w:t>
      </w:r>
      <w:r>
        <w:rPr>
          <w:color w:val="000000"/>
          <w:sz w:val="26"/>
          <w:szCs w:val="26"/>
          <w:lang w:eastAsia="ru-RU"/>
        </w:rPr>
        <w:t>округа</w:t>
      </w:r>
      <w:r w:rsidRPr="00927D1B">
        <w:rPr>
          <w:color w:val="000000"/>
          <w:sz w:val="26"/>
          <w:szCs w:val="26"/>
          <w:lang w:eastAsia="ru-RU"/>
        </w:rPr>
        <w:t xml:space="preserve"> в составе муниципальной программы</w:t>
      </w:r>
      <w:r>
        <w:rPr>
          <w:color w:val="000000"/>
          <w:sz w:val="26"/>
          <w:szCs w:val="26"/>
          <w:lang w:eastAsia="ru-RU"/>
        </w:rPr>
        <w:t>.</w:t>
      </w:r>
    </w:p>
    <w:p w:rsidR="00C1061E" w:rsidRPr="00927D1B" w:rsidRDefault="00C1061E" w:rsidP="00927D1B">
      <w:pPr>
        <w:pStyle w:val="20"/>
        <w:shd w:val="clear" w:color="auto" w:fill="auto"/>
        <w:tabs>
          <w:tab w:val="left" w:pos="912"/>
        </w:tabs>
        <w:spacing w:line="298" w:lineRule="exact"/>
        <w:ind w:firstLine="567"/>
        <w:jc w:val="both"/>
        <w:rPr>
          <w:color w:val="000000"/>
          <w:sz w:val="26"/>
          <w:szCs w:val="26"/>
          <w:lang w:eastAsia="ru-RU"/>
        </w:rPr>
      </w:pPr>
    </w:p>
    <w:p w:rsidR="00C1061E" w:rsidRDefault="00C1061E" w:rsidP="00927D1B">
      <w:pPr>
        <w:pStyle w:val="20"/>
        <w:shd w:val="clear" w:color="auto" w:fill="auto"/>
        <w:spacing w:after="262" w:line="276" w:lineRule="auto"/>
        <w:ind w:left="720"/>
        <w:rPr>
          <w:color w:val="000000"/>
          <w:sz w:val="26"/>
          <w:szCs w:val="26"/>
          <w:lang w:eastAsia="ru-RU"/>
        </w:rPr>
      </w:pPr>
      <w:r w:rsidRPr="00927D1B">
        <w:rPr>
          <w:color w:val="000000"/>
          <w:sz w:val="26"/>
          <w:szCs w:val="26"/>
          <w:lang w:eastAsia="ru-RU"/>
        </w:rPr>
        <w:t>5.</w:t>
      </w:r>
      <w:r>
        <w:rPr>
          <w:color w:val="000000"/>
          <w:sz w:val="26"/>
          <w:szCs w:val="26"/>
          <w:lang w:eastAsia="ru-RU"/>
        </w:rPr>
        <w:t xml:space="preserve">  Контроль использования Дорожного фонда</w:t>
      </w:r>
    </w:p>
    <w:p w:rsidR="00C1061E" w:rsidRPr="00927D1B" w:rsidRDefault="00C1061E" w:rsidP="00927D1B">
      <w:pPr>
        <w:pStyle w:val="20"/>
        <w:shd w:val="clear" w:color="auto" w:fill="auto"/>
        <w:spacing w:line="276" w:lineRule="auto"/>
        <w:ind w:firstLine="709"/>
        <w:jc w:val="both"/>
        <w:rPr>
          <w:color w:val="000000"/>
          <w:sz w:val="26"/>
          <w:szCs w:val="26"/>
          <w:lang w:eastAsia="ru-RU"/>
        </w:rPr>
      </w:pPr>
      <w:r w:rsidRPr="00927D1B">
        <w:rPr>
          <w:color w:val="000000"/>
          <w:sz w:val="26"/>
          <w:szCs w:val="26"/>
          <w:lang w:eastAsia="ru-RU"/>
        </w:rPr>
        <w:t>5.1. Ответственность за целевое и эффективное использование средств Дорожного фонда несет главный распорядитель и получатель средств Дорожного фонда в соответствии с действующим законодательством Российской Федерации.</w:t>
      </w:r>
    </w:p>
    <w:p w:rsidR="00C1061E" w:rsidRPr="00927D1B" w:rsidRDefault="00C1061E" w:rsidP="00927D1B">
      <w:pPr>
        <w:pStyle w:val="20"/>
        <w:shd w:val="clear" w:color="auto" w:fill="auto"/>
        <w:spacing w:line="276" w:lineRule="auto"/>
        <w:ind w:firstLine="709"/>
        <w:jc w:val="both"/>
        <w:rPr>
          <w:color w:val="000000"/>
          <w:sz w:val="26"/>
          <w:szCs w:val="26"/>
          <w:lang w:eastAsia="ru-RU"/>
        </w:rPr>
      </w:pPr>
      <w:r w:rsidRPr="00927D1B">
        <w:rPr>
          <w:color w:val="000000"/>
          <w:sz w:val="26"/>
          <w:szCs w:val="26"/>
          <w:lang w:eastAsia="ru-RU"/>
        </w:rPr>
        <w:t xml:space="preserve">5.2. В случае установления факта нецелевого использования средств Дорожного фонда, влекущего ответственность, установленную действующим законодательством Российской Федерации, бюджетные ассигнования Дорожного фонда подлежат возврату в бюджет Тернейского муниципального </w:t>
      </w:r>
      <w:r>
        <w:rPr>
          <w:color w:val="000000"/>
          <w:sz w:val="26"/>
          <w:szCs w:val="26"/>
          <w:lang w:eastAsia="ru-RU"/>
        </w:rPr>
        <w:t>округа</w:t>
      </w:r>
    </w:p>
    <w:p w:rsidR="00C1061E" w:rsidRPr="00927D1B" w:rsidRDefault="00C1061E" w:rsidP="00927D1B">
      <w:pPr>
        <w:pStyle w:val="20"/>
        <w:shd w:val="clear" w:color="auto" w:fill="auto"/>
        <w:spacing w:line="276" w:lineRule="auto"/>
        <w:ind w:firstLine="709"/>
        <w:jc w:val="both"/>
        <w:rPr>
          <w:color w:val="000000"/>
          <w:sz w:val="26"/>
          <w:szCs w:val="26"/>
          <w:lang w:eastAsia="ru-RU"/>
        </w:rPr>
      </w:pPr>
      <w:r w:rsidRPr="00927D1B">
        <w:rPr>
          <w:color w:val="000000"/>
          <w:sz w:val="26"/>
          <w:szCs w:val="26"/>
          <w:lang w:eastAsia="ru-RU"/>
        </w:rPr>
        <w:t xml:space="preserve">5.3. Отчёт об использовании бюджетных ассигнований Дорожного фонда представляются в Думу Тернейского муниципального </w:t>
      </w:r>
      <w:r>
        <w:rPr>
          <w:color w:val="000000"/>
          <w:sz w:val="26"/>
          <w:szCs w:val="26"/>
          <w:lang w:eastAsia="ru-RU"/>
        </w:rPr>
        <w:t>округа</w:t>
      </w:r>
      <w:r w:rsidRPr="00927D1B">
        <w:rPr>
          <w:color w:val="000000"/>
          <w:sz w:val="26"/>
          <w:szCs w:val="26"/>
          <w:lang w:eastAsia="ru-RU"/>
        </w:rPr>
        <w:t xml:space="preserve"> одновременно с отчетом об исполнении местного бюджета за отчётный финансовый год не позднее 1 мая текущего года.</w:t>
      </w:r>
    </w:p>
    <w:p w:rsidR="00C1061E" w:rsidRPr="00927D1B" w:rsidRDefault="00C1061E" w:rsidP="00927D1B">
      <w:pPr>
        <w:pStyle w:val="20"/>
        <w:shd w:val="clear" w:color="auto" w:fill="auto"/>
        <w:spacing w:line="276" w:lineRule="auto"/>
        <w:ind w:firstLine="709"/>
        <w:jc w:val="both"/>
        <w:rPr>
          <w:color w:val="000000"/>
          <w:sz w:val="26"/>
          <w:szCs w:val="26"/>
          <w:lang w:eastAsia="ru-RU"/>
        </w:rPr>
      </w:pPr>
      <w:r w:rsidRPr="00927D1B">
        <w:rPr>
          <w:color w:val="000000"/>
          <w:sz w:val="26"/>
          <w:szCs w:val="26"/>
          <w:lang w:eastAsia="ru-RU"/>
        </w:rPr>
        <w:t>Отчёт об исполнении бюджетных ассигнований Дорожного фонда должен содержать плановые показатели в соответствии с муниципальной программой о дорожной деятельности и фактические показатели по расходам с разбивкой по объектам и направлением использования средств Дорожного фонда.</w:t>
      </w:r>
    </w:p>
    <w:p w:rsidR="00C1061E" w:rsidRPr="002800E5" w:rsidRDefault="00C1061E" w:rsidP="002800E5">
      <w:pPr>
        <w:pStyle w:val="20"/>
        <w:shd w:val="clear" w:color="auto" w:fill="auto"/>
        <w:spacing w:after="262" w:line="276" w:lineRule="auto"/>
        <w:ind w:firstLine="709"/>
        <w:jc w:val="left"/>
        <w:rPr>
          <w:color w:val="000000"/>
          <w:sz w:val="26"/>
          <w:szCs w:val="26"/>
          <w:lang w:eastAsia="ru-RU"/>
        </w:rPr>
      </w:pPr>
    </w:p>
    <w:sectPr w:rsidR="00C1061E" w:rsidRPr="002800E5" w:rsidSect="002800E5">
      <w:pgSz w:w="11906" w:h="16838"/>
      <w:pgMar w:top="568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E00CE2"/>
    <w:multiLevelType w:val="multilevel"/>
    <w:tmpl w:val="7ABE385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5C8E0702"/>
    <w:multiLevelType w:val="multilevel"/>
    <w:tmpl w:val="242AA7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6FC17D39"/>
    <w:multiLevelType w:val="hybridMultilevel"/>
    <w:tmpl w:val="C4CE9A40"/>
    <w:lvl w:ilvl="0" w:tplc="F328D0E6">
      <w:start w:val="1"/>
      <w:numFmt w:val="decimal"/>
      <w:lvlText w:val="%1."/>
      <w:lvlJc w:val="left"/>
      <w:pPr>
        <w:ind w:left="3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  <w:rPr>
        <w:rFonts w:cs="Times New Roman"/>
      </w:rPr>
    </w:lvl>
  </w:abstractNum>
  <w:abstractNum w:abstractNumId="3" w15:restartNumberingAfterBreak="0">
    <w:nsid w:val="77D45402"/>
    <w:multiLevelType w:val="multilevel"/>
    <w:tmpl w:val="0F02359E"/>
    <w:lvl w:ilvl="0">
      <w:start w:val="1"/>
      <w:numFmt w:val="decimal"/>
      <w:lvlText w:val="%1."/>
      <w:lvlJc w:val="left"/>
      <w:pPr>
        <w:ind w:left="1113" w:hanging="40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03" w:hanging="4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4A5C"/>
    <w:rsid w:val="00061038"/>
    <w:rsid w:val="001179F2"/>
    <w:rsid w:val="001B3065"/>
    <w:rsid w:val="001E2CDF"/>
    <w:rsid w:val="002800E5"/>
    <w:rsid w:val="00342BD3"/>
    <w:rsid w:val="00927D1B"/>
    <w:rsid w:val="00A14A5C"/>
    <w:rsid w:val="00B14AF4"/>
    <w:rsid w:val="00C1061E"/>
    <w:rsid w:val="00C113DC"/>
    <w:rsid w:val="00D06DFD"/>
    <w:rsid w:val="00D6751B"/>
    <w:rsid w:val="00DD1B49"/>
    <w:rsid w:val="00E20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E011FC"/>
  <w15:docId w15:val="{575E5ACB-B9FD-47FC-825C-4E97233C6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DFD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link w:val="10"/>
    <w:uiPriority w:val="99"/>
    <w:locked/>
    <w:rsid w:val="00A14A5C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A14A5C"/>
    <w:pPr>
      <w:widowControl w:val="0"/>
      <w:shd w:val="clear" w:color="auto" w:fill="FFFFFF"/>
      <w:spacing w:before="240" w:after="480" w:line="283" w:lineRule="exact"/>
      <w:jc w:val="center"/>
      <w:outlineLvl w:val="0"/>
    </w:pPr>
    <w:rPr>
      <w:rFonts w:ascii="Times New Roman" w:eastAsia="Times New Roman" w:hAnsi="Times New Roman"/>
      <w:b/>
      <w:bCs/>
    </w:rPr>
  </w:style>
  <w:style w:type="paragraph" w:styleId="a3">
    <w:name w:val="List Paragraph"/>
    <w:basedOn w:val="a"/>
    <w:uiPriority w:val="99"/>
    <w:qFormat/>
    <w:rsid w:val="00A14A5C"/>
    <w:pPr>
      <w:ind w:left="720"/>
      <w:contextualSpacing/>
    </w:pPr>
  </w:style>
  <w:style w:type="character" w:customStyle="1" w:styleId="2">
    <w:name w:val="Основной текст (2)_"/>
    <w:link w:val="20"/>
    <w:uiPriority w:val="99"/>
    <w:locked/>
    <w:rsid w:val="00A14A5C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A14A5C"/>
    <w:pPr>
      <w:widowControl w:val="0"/>
      <w:shd w:val="clear" w:color="auto" w:fill="FFFFFF"/>
      <w:spacing w:after="0" w:line="278" w:lineRule="exact"/>
      <w:jc w:val="center"/>
    </w:pPr>
    <w:rPr>
      <w:rFonts w:ascii="Times New Roman" w:eastAsia="Times New Roman" w:hAnsi="Times New Roman"/>
    </w:rPr>
  </w:style>
  <w:style w:type="character" w:customStyle="1" w:styleId="21">
    <w:name w:val="Основной текст (2) + Полужирный"/>
    <w:uiPriority w:val="99"/>
    <w:rsid w:val="00A14A5C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DD1B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DD1B4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1301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ozhiri-1</dc:creator>
  <cp:keywords/>
  <dc:description/>
  <cp:lastModifiedBy>RePack by Diakov</cp:lastModifiedBy>
  <cp:revision>8</cp:revision>
  <cp:lastPrinted>2025-02-02T23:56:00Z</cp:lastPrinted>
  <dcterms:created xsi:type="dcterms:W3CDTF">2025-01-20T00:14:00Z</dcterms:created>
  <dcterms:modified xsi:type="dcterms:W3CDTF">2025-02-02T23:56:00Z</dcterms:modified>
</cp:coreProperties>
</file>