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4"/>
      </w:tblGrid>
      <w:tr w:rsidR="00F26885" w:rsidTr="00F26885">
        <w:tc>
          <w:tcPr>
            <w:tcW w:w="4104" w:type="dxa"/>
          </w:tcPr>
          <w:p w:rsidR="00F26885" w:rsidRDefault="00F26885" w:rsidP="00F26885">
            <w:pPr>
              <w:tabs>
                <w:tab w:val="center" w:pos="4677"/>
              </w:tabs>
              <w:spacing w:line="360" w:lineRule="auto"/>
              <w:jc w:val="center"/>
            </w:pPr>
            <w:r>
              <w:t>Приложение № 1</w:t>
            </w:r>
          </w:p>
          <w:p w:rsidR="00F26885" w:rsidRDefault="00F26885" w:rsidP="00F26885">
            <w:pPr>
              <w:widowControl w:val="0"/>
              <w:autoSpaceDE w:val="0"/>
              <w:jc w:val="center"/>
            </w:pPr>
            <w:r>
              <w:t>к постановлению администрации</w:t>
            </w:r>
          </w:p>
          <w:p w:rsidR="00F26885" w:rsidRDefault="00F26885" w:rsidP="00F26885">
            <w:pPr>
              <w:widowControl w:val="0"/>
              <w:autoSpaceDE w:val="0"/>
              <w:jc w:val="right"/>
            </w:pPr>
            <w:proofErr w:type="spellStart"/>
            <w:r>
              <w:t>Тернейского</w:t>
            </w:r>
            <w:proofErr w:type="spellEnd"/>
            <w:r>
              <w:t xml:space="preserve"> муниципального округа</w:t>
            </w:r>
          </w:p>
          <w:p w:rsidR="00F26885" w:rsidRPr="00F26885" w:rsidRDefault="00F26885" w:rsidP="00F26885">
            <w:pPr>
              <w:widowControl w:val="0"/>
              <w:spacing w:line="360" w:lineRule="auto"/>
              <w:jc w:val="center"/>
              <w:rPr>
                <w:b/>
                <w:caps/>
              </w:rPr>
            </w:pPr>
            <w:r>
              <w:t>от 20.03.2024 № 275</w:t>
            </w:r>
          </w:p>
        </w:tc>
      </w:tr>
    </w:tbl>
    <w:p w:rsidR="00F26885" w:rsidRDefault="00F26885" w:rsidP="00F26885">
      <w:pPr>
        <w:tabs>
          <w:tab w:val="center" w:pos="4677"/>
        </w:tabs>
      </w:pPr>
      <w:r>
        <w:tab/>
      </w:r>
    </w:p>
    <w:p w:rsidR="00BB21AE" w:rsidRDefault="00BB21AE" w:rsidP="00F26885">
      <w:pPr>
        <w:widowControl w:val="0"/>
        <w:jc w:val="center"/>
        <w:rPr>
          <w:b/>
          <w:caps/>
        </w:rPr>
      </w:pPr>
      <w:r w:rsidRPr="007A7DD9">
        <w:rPr>
          <w:b/>
          <w:caps/>
        </w:rPr>
        <w:t>Паспорт программы</w:t>
      </w:r>
    </w:p>
    <w:p w:rsidR="00F26885" w:rsidRDefault="00F26885" w:rsidP="00F26885">
      <w:pPr>
        <w:widowControl w:val="0"/>
        <w:jc w:val="center"/>
        <w:rPr>
          <w:b/>
        </w:rPr>
      </w:pPr>
      <w:r w:rsidRPr="00F26885">
        <w:rPr>
          <w:b/>
        </w:rPr>
        <w:t xml:space="preserve">«Обеспечение жильем молодых семей </w:t>
      </w:r>
      <w:proofErr w:type="spellStart"/>
      <w:r w:rsidRPr="00F26885">
        <w:rPr>
          <w:b/>
        </w:rPr>
        <w:t>Тернейского</w:t>
      </w:r>
      <w:proofErr w:type="spellEnd"/>
      <w:r w:rsidRPr="00F26885">
        <w:rPr>
          <w:b/>
        </w:rPr>
        <w:t xml:space="preserve"> муниципального округа» </w:t>
      </w:r>
    </w:p>
    <w:p w:rsidR="00F26885" w:rsidRPr="00F26885" w:rsidRDefault="00F26885" w:rsidP="00F26885">
      <w:pPr>
        <w:widowControl w:val="0"/>
        <w:jc w:val="center"/>
        <w:rPr>
          <w:b/>
          <w:caps/>
        </w:rPr>
      </w:pPr>
      <w:r w:rsidRPr="00F26885">
        <w:rPr>
          <w:b/>
        </w:rPr>
        <w:t>на 2013-2027 годы</w:t>
      </w:r>
    </w:p>
    <w:p w:rsidR="00F26885" w:rsidRPr="007A7DD9" w:rsidRDefault="00F26885" w:rsidP="00BB21AE">
      <w:pPr>
        <w:widowControl w:val="0"/>
        <w:spacing w:line="360" w:lineRule="auto"/>
        <w:jc w:val="center"/>
        <w:rPr>
          <w:b/>
        </w:rPr>
      </w:pPr>
    </w:p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9"/>
        <w:gridCol w:w="7686"/>
      </w:tblGrid>
      <w:tr w:rsidR="00BB21AE" w:rsidRPr="007A7DD9" w:rsidTr="008E4ADB">
        <w:trPr>
          <w:trHeight w:val="476"/>
          <w:jc w:val="center"/>
        </w:trPr>
        <w:tc>
          <w:tcPr>
            <w:tcW w:w="2369" w:type="dxa"/>
          </w:tcPr>
          <w:p w:rsidR="00BB21AE" w:rsidRPr="003168C1" w:rsidRDefault="00BB21AE" w:rsidP="008E4ADB">
            <w:pPr>
              <w:widowControl w:val="0"/>
            </w:pPr>
            <w:r w:rsidRPr="003168C1">
              <w:t xml:space="preserve">Наименование </w:t>
            </w:r>
          </w:p>
          <w:p w:rsidR="00BB21AE" w:rsidRPr="003168C1" w:rsidRDefault="00BB21AE" w:rsidP="008E4ADB">
            <w:pPr>
              <w:widowControl w:val="0"/>
            </w:pPr>
            <w:r w:rsidRPr="003168C1">
              <w:t>Программы</w:t>
            </w:r>
          </w:p>
        </w:tc>
        <w:tc>
          <w:tcPr>
            <w:tcW w:w="7686" w:type="dxa"/>
          </w:tcPr>
          <w:p w:rsidR="00BB21AE" w:rsidRPr="003168C1" w:rsidRDefault="00BB21AE" w:rsidP="00F26885">
            <w:pPr>
              <w:widowControl w:val="0"/>
              <w:jc w:val="both"/>
            </w:pPr>
            <w:r w:rsidRPr="003168C1">
              <w:t>Муниципальная программа «Обеспечение жильем молодых семей Тернейского муниципального округа» на 2013-2027 годы (далее - Программа)</w:t>
            </w:r>
          </w:p>
        </w:tc>
      </w:tr>
      <w:tr w:rsidR="00BB21AE" w:rsidRPr="007A7DD9" w:rsidTr="008E4ADB">
        <w:trPr>
          <w:trHeight w:val="1539"/>
          <w:jc w:val="center"/>
        </w:trPr>
        <w:tc>
          <w:tcPr>
            <w:tcW w:w="2369" w:type="dxa"/>
          </w:tcPr>
          <w:p w:rsidR="00BB21AE" w:rsidRPr="003168C1" w:rsidRDefault="00BB21AE" w:rsidP="008E4ADB">
            <w:pPr>
              <w:widowControl w:val="0"/>
            </w:pPr>
            <w:r w:rsidRPr="003168C1">
              <w:t>Основание разработки Программы</w:t>
            </w:r>
          </w:p>
          <w:p w:rsidR="00BB21AE" w:rsidRPr="003168C1" w:rsidRDefault="00BB21AE" w:rsidP="008E4ADB">
            <w:pPr>
              <w:widowControl w:val="0"/>
              <w:jc w:val="both"/>
            </w:pPr>
          </w:p>
        </w:tc>
        <w:tc>
          <w:tcPr>
            <w:tcW w:w="7686" w:type="dxa"/>
          </w:tcPr>
          <w:p w:rsidR="00BB21AE" w:rsidRPr="000332A5" w:rsidRDefault="00BB21AE" w:rsidP="008E4A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2A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5" w:history="1">
              <w:r w:rsidRPr="000332A5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0332A5">
              <w:rPr>
                <w:rFonts w:ascii="Times New Roman" w:hAnsi="Times New Roman" w:cs="Times New Roman"/>
                <w:sz w:val="24"/>
                <w:szCs w:val="24"/>
              </w:rPr>
              <w:t xml:space="preserve"> от 6 октября 2003 года N 131-ФЗ "Об общих принципах организации местного самоуправления в Российской Федерации";</w:t>
            </w:r>
          </w:p>
          <w:p w:rsidR="00BB21AE" w:rsidRPr="000332A5" w:rsidRDefault="00BB21AE" w:rsidP="008E4ADB">
            <w:pPr>
              <w:autoSpaceDE w:val="0"/>
              <w:autoSpaceDN w:val="0"/>
              <w:adjustRightInd w:val="0"/>
              <w:ind w:right="66" w:firstLine="284"/>
              <w:jc w:val="both"/>
            </w:pPr>
            <w:r w:rsidRPr="000332A5">
              <w:t>Мероприятие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утверждённое постановлением Правительства Российской Федерации от 30.12.2017 г. № 1710;</w:t>
            </w:r>
          </w:p>
          <w:p w:rsidR="00BB21AE" w:rsidRPr="000332A5" w:rsidRDefault="00BB21AE" w:rsidP="008E4ADB">
            <w:pPr>
              <w:jc w:val="both"/>
            </w:pPr>
            <w:r w:rsidRPr="002A366C">
              <w:rPr>
                <w:sz w:val="26"/>
                <w:szCs w:val="26"/>
              </w:rPr>
              <w:t xml:space="preserve">     </w:t>
            </w:r>
            <w:r w:rsidRPr="000332A5">
              <w:rPr>
                <w:sz w:val="26"/>
                <w:szCs w:val="26"/>
              </w:rPr>
              <w:t>Постановление Правительства РФ от 17.12.2010 № 1050 «О реализации отдельных мероприятий государственной программы РФ «Обеспечение доступным и комфортным жильем и коммунальными услугами граждан РФ»;</w:t>
            </w:r>
          </w:p>
          <w:p w:rsidR="00BB21AE" w:rsidRPr="000332A5" w:rsidRDefault="00BB21AE" w:rsidP="008E4ADB">
            <w:pPr>
              <w:autoSpaceDE w:val="0"/>
              <w:autoSpaceDN w:val="0"/>
              <w:adjustRightInd w:val="0"/>
              <w:ind w:right="66" w:firstLine="284"/>
              <w:jc w:val="both"/>
              <w:rPr>
                <w:rFonts w:eastAsia="Calibri"/>
              </w:rPr>
            </w:pPr>
            <w:r w:rsidRPr="000332A5">
              <w:rPr>
                <w:lang w:eastAsia="en-US"/>
              </w:rPr>
              <w:t>Государственная программа Приморского края «</w:t>
            </w:r>
            <w:r w:rsidRPr="000332A5">
              <w:t>"Обеспечение доступным жильем и качественными услугами жилищно-коммунального хозяйства населения Приморского края»</w:t>
            </w:r>
            <w:r w:rsidRPr="000332A5">
              <w:rPr>
                <w:lang w:eastAsia="en-US"/>
              </w:rPr>
              <w:t xml:space="preserve">, утвержденная </w:t>
            </w:r>
            <w:r w:rsidRPr="000332A5">
              <w:rPr>
                <w:rFonts w:eastAsia="Calibri"/>
              </w:rPr>
              <w:t>постановлением Администрации Приморского края от 30.12.2019 г. № 945-па;</w:t>
            </w:r>
          </w:p>
          <w:p w:rsidR="00BB21AE" w:rsidRPr="003168C1" w:rsidRDefault="00BB21AE" w:rsidP="008E4A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66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0332A5"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Тернейского муниципального района от 15.02.2012 года № 18-р «О разработке муниципальной программы «Обеспечение жильем молодой семьи Тернейского муниципального района» на 2013 – 2017 годы».</w:t>
            </w:r>
          </w:p>
        </w:tc>
      </w:tr>
      <w:tr w:rsidR="00BB21AE" w:rsidRPr="007A7DD9" w:rsidTr="008E4ADB">
        <w:trPr>
          <w:trHeight w:val="317"/>
          <w:jc w:val="center"/>
        </w:trPr>
        <w:tc>
          <w:tcPr>
            <w:tcW w:w="2369" w:type="dxa"/>
          </w:tcPr>
          <w:p w:rsidR="00BB21AE" w:rsidRPr="003168C1" w:rsidRDefault="00BB21AE" w:rsidP="008E4ADB">
            <w:pPr>
              <w:widowControl w:val="0"/>
            </w:pPr>
            <w:r w:rsidRPr="003168C1">
              <w:t>Заказчик Программы</w:t>
            </w:r>
          </w:p>
        </w:tc>
        <w:tc>
          <w:tcPr>
            <w:tcW w:w="7686" w:type="dxa"/>
          </w:tcPr>
          <w:p w:rsidR="00BB21AE" w:rsidRPr="003168C1" w:rsidRDefault="00BB21AE" w:rsidP="008E4ADB">
            <w:pPr>
              <w:widowControl w:val="0"/>
              <w:jc w:val="both"/>
            </w:pPr>
            <w:r w:rsidRPr="003168C1">
              <w:t>Администрация Тернейского муниципального округа Приморского края</w:t>
            </w:r>
          </w:p>
        </w:tc>
      </w:tr>
      <w:tr w:rsidR="00BB21AE" w:rsidRPr="007A7DD9" w:rsidTr="008E4ADB">
        <w:trPr>
          <w:trHeight w:val="476"/>
          <w:jc w:val="center"/>
        </w:trPr>
        <w:tc>
          <w:tcPr>
            <w:tcW w:w="2369" w:type="dxa"/>
          </w:tcPr>
          <w:p w:rsidR="00BB21AE" w:rsidRPr="003168C1" w:rsidRDefault="00BB21AE" w:rsidP="008E4ADB">
            <w:pPr>
              <w:widowControl w:val="0"/>
            </w:pPr>
            <w:r w:rsidRPr="003168C1">
              <w:t xml:space="preserve">Координатор </w:t>
            </w:r>
          </w:p>
          <w:p w:rsidR="00BB21AE" w:rsidRPr="003168C1" w:rsidRDefault="00BB21AE" w:rsidP="008E4ADB">
            <w:pPr>
              <w:widowControl w:val="0"/>
            </w:pPr>
            <w:r w:rsidRPr="003168C1">
              <w:t>Программы</w:t>
            </w:r>
          </w:p>
        </w:tc>
        <w:tc>
          <w:tcPr>
            <w:tcW w:w="7686" w:type="dxa"/>
          </w:tcPr>
          <w:p w:rsidR="00BB21AE" w:rsidRPr="003168C1" w:rsidRDefault="00BB21AE" w:rsidP="008E4ADB">
            <w:pPr>
              <w:widowControl w:val="0"/>
              <w:jc w:val="both"/>
            </w:pPr>
            <w:r w:rsidRPr="003168C1">
              <w:t>Управление социально-культурной деятельности администрации Тернейского муниципального округа Приморского края</w:t>
            </w:r>
          </w:p>
          <w:p w:rsidR="00BB21AE" w:rsidRPr="003168C1" w:rsidRDefault="00BB21AE" w:rsidP="008E4ADB">
            <w:pPr>
              <w:widowControl w:val="0"/>
              <w:jc w:val="both"/>
            </w:pPr>
          </w:p>
        </w:tc>
      </w:tr>
      <w:tr w:rsidR="00BB21AE" w:rsidRPr="007A7DD9" w:rsidTr="008E4ADB">
        <w:trPr>
          <w:trHeight w:val="608"/>
          <w:jc w:val="center"/>
        </w:trPr>
        <w:tc>
          <w:tcPr>
            <w:tcW w:w="2369" w:type="dxa"/>
          </w:tcPr>
          <w:p w:rsidR="00BB21AE" w:rsidRPr="003168C1" w:rsidRDefault="00BB21AE" w:rsidP="008E4ADB">
            <w:pPr>
              <w:widowControl w:val="0"/>
            </w:pPr>
            <w:r w:rsidRPr="003168C1">
              <w:t xml:space="preserve">Разработчик </w:t>
            </w:r>
          </w:p>
          <w:p w:rsidR="00BB21AE" w:rsidRPr="003168C1" w:rsidRDefault="00BB21AE" w:rsidP="008E4ADB">
            <w:pPr>
              <w:widowControl w:val="0"/>
            </w:pPr>
            <w:r w:rsidRPr="003168C1">
              <w:t>Программы</w:t>
            </w:r>
          </w:p>
        </w:tc>
        <w:tc>
          <w:tcPr>
            <w:tcW w:w="7686" w:type="dxa"/>
          </w:tcPr>
          <w:p w:rsidR="00BB21AE" w:rsidRPr="003168C1" w:rsidRDefault="00BB21AE" w:rsidP="008E4ADB">
            <w:pPr>
              <w:widowControl w:val="0"/>
              <w:jc w:val="both"/>
            </w:pPr>
            <w:r w:rsidRPr="003168C1">
              <w:t>Управление социально-культурной деятельности администрации Тернейского муниципального округа Приморского края</w:t>
            </w:r>
          </w:p>
          <w:p w:rsidR="00BB21AE" w:rsidRPr="003168C1" w:rsidRDefault="00BB21AE" w:rsidP="008E4ADB">
            <w:pPr>
              <w:widowControl w:val="0"/>
              <w:jc w:val="both"/>
            </w:pPr>
          </w:p>
        </w:tc>
      </w:tr>
      <w:tr w:rsidR="00BB21AE" w:rsidRPr="007A7DD9" w:rsidTr="008E4ADB">
        <w:trPr>
          <w:trHeight w:val="360"/>
          <w:jc w:val="center"/>
        </w:trPr>
        <w:tc>
          <w:tcPr>
            <w:tcW w:w="2369" w:type="dxa"/>
          </w:tcPr>
          <w:p w:rsidR="00BB21AE" w:rsidRPr="003168C1" w:rsidRDefault="00BB21AE" w:rsidP="008E4ADB">
            <w:pPr>
              <w:widowControl w:val="0"/>
            </w:pPr>
            <w:r w:rsidRPr="003168C1">
              <w:t xml:space="preserve">Цели и задачи </w:t>
            </w:r>
          </w:p>
          <w:p w:rsidR="00BB21AE" w:rsidRPr="003168C1" w:rsidRDefault="00BB21AE" w:rsidP="008E4ADB">
            <w:pPr>
              <w:widowControl w:val="0"/>
            </w:pPr>
            <w:r w:rsidRPr="003168C1">
              <w:t>Программы</w:t>
            </w:r>
          </w:p>
        </w:tc>
        <w:tc>
          <w:tcPr>
            <w:tcW w:w="7686" w:type="dxa"/>
          </w:tcPr>
          <w:p w:rsidR="00BB21AE" w:rsidRPr="003168C1" w:rsidRDefault="00BB21AE" w:rsidP="008E4ADB">
            <w:pPr>
              <w:widowControl w:val="0"/>
              <w:jc w:val="both"/>
              <w:rPr>
                <w:b/>
              </w:rPr>
            </w:pPr>
            <w:r w:rsidRPr="003168C1">
              <w:rPr>
                <w:b/>
              </w:rPr>
              <w:t xml:space="preserve">Цель Программы: </w:t>
            </w:r>
          </w:p>
          <w:p w:rsidR="00BB21AE" w:rsidRPr="003168C1" w:rsidRDefault="00BB21AE" w:rsidP="00BB21AE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left" w:pos="260"/>
                <w:tab w:val="num" w:pos="426"/>
              </w:tabs>
              <w:ind w:left="0" w:firstLine="66"/>
              <w:jc w:val="both"/>
            </w:pPr>
            <w:r w:rsidRPr="003168C1">
              <w:t>предоставление государственной поддержки в решении жилищной проблемы молодым семьям, признанным в установленном порядке нуждающимися в улучшении жилищных условий</w:t>
            </w:r>
          </w:p>
          <w:p w:rsidR="00BB21AE" w:rsidRPr="003168C1" w:rsidRDefault="00BB21AE" w:rsidP="008E4ADB">
            <w:pPr>
              <w:widowControl w:val="0"/>
              <w:tabs>
                <w:tab w:val="num" w:pos="66"/>
                <w:tab w:val="left" w:pos="260"/>
              </w:tabs>
              <w:ind w:firstLine="66"/>
              <w:jc w:val="both"/>
              <w:rPr>
                <w:b/>
              </w:rPr>
            </w:pPr>
            <w:r w:rsidRPr="003168C1">
              <w:rPr>
                <w:b/>
              </w:rPr>
              <w:t>Задачи Программы:</w:t>
            </w:r>
          </w:p>
          <w:p w:rsidR="00BB21AE" w:rsidRPr="000332A5" w:rsidRDefault="00BB21AE" w:rsidP="008E4ADB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0332A5">
              <w:t>- предоставление молодым семьям социальных выплат на приобретение жилого помещения или создание объекта индивидуального жилищного строительства (далее - социальные выплаты молодым семьям);</w:t>
            </w:r>
          </w:p>
          <w:p w:rsidR="00BB21AE" w:rsidRPr="003168C1" w:rsidRDefault="00BB21AE" w:rsidP="00BB21AE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260"/>
                <w:tab w:val="num" w:pos="426"/>
              </w:tabs>
              <w:ind w:left="0" w:firstLine="0"/>
              <w:jc w:val="both"/>
            </w:pPr>
            <w:r w:rsidRPr="000332A5">
              <w:t>формирование условий для активного использования ипотечного</w:t>
            </w:r>
            <w:r w:rsidRPr="003168C1">
              <w:t xml:space="preserve"> жилищного кредитования при решении жилищной проблемы молодых семей</w:t>
            </w:r>
          </w:p>
          <w:p w:rsidR="00BB21AE" w:rsidRPr="003168C1" w:rsidRDefault="00BB21AE" w:rsidP="008E4ADB">
            <w:pPr>
              <w:widowControl w:val="0"/>
              <w:tabs>
                <w:tab w:val="left" w:pos="260"/>
              </w:tabs>
              <w:jc w:val="both"/>
            </w:pPr>
          </w:p>
        </w:tc>
      </w:tr>
      <w:tr w:rsidR="00BB21AE" w:rsidRPr="007A7DD9" w:rsidTr="008E4ADB">
        <w:trPr>
          <w:trHeight w:val="360"/>
          <w:jc w:val="center"/>
        </w:trPr>
        <w:tc>
          <w:tcPr>
            <w:tcW w:w="2369" w:type="dxa"/>
          </w:tcPr>
          <w:p w:rsidR="00BB21AE" w:rsidRPr="003168C1" w:rsidRDefault="00BB21AE" w:rsidP="008E4ADB">
            <w:pPr>
              <w:widowControl w:val="0"/>
            </w:pPr>
            <w:r w:rsidRPr="003168C1">
              <w:lastRenderedPageBreak/>
              <w:t xml:space="preserve">Сроки и этапы </w:t>
            </w:r>
          </w:p>
          <w:p w:rsidR="00BB21AE" w:rsidRPr="003168C1" w:rsidRDefault="00BB21AE" w:rsidP="008E4ADB">
            <w:pPr>
              <w:widowControl w:val="0"/>
            </w:pPr>
            <w:r w:rsidRPr="003168C1">
              <w:t xml:space="preserve">реализации </w:t>
            </w:r>
          </w:p>
          <w:p w:rsidR="00BB21AE" w:rsidRPr="003168C1" w:rsidRDefault="00BB21AE" w:rsidP="008E4ADB">
            <w:pPr>
              <w:widowControl w:val="0"/>
            </w:pPr>
            <w:r w:rsidRPr="003168C1">
              <w:t>Программы</w:t>
            </w:r>
          </w:p>
        </w:tc>
        <w:tc>
          <w:tcPr>
            <w:tcW w:w="7686" w:type="dxa"/>
          </w:tcPr>
          <w:p w:rsidR="00BB21AE" w:rsidRPr="003168C1" w:rsidRDefault="00BB21AE" w:rsidP="008E4ADB">
            <w:pPr>
              <w:widowControl w:val="0"/>
              <w:jc w:val="both"/>
            </w:pPr>
            <w:r w:rsidRPr="003168C1">
              <w:t>2013-2027 годы в один этап</w:t>
            </w:r>
          </w:p>
          <w:p w:rsidR="00BB21AE" w:rsidRPr="003168C1" w:rsidRDefault="00BB21AE" w:rsidP="008E4ADB">
            <w:pPr>
              <w:widowControl w:val="0"/>
              <w:jc w:val="both"/>
            </w:pPr>
          </w:p>
        </w:tc>
      </w:tr>
      <w:tr w:rsidR="00BB21AE" w:rsidRPr="007A7DD9" w:rsidTr="008E4ADB">
        <w:trPr>
          <w:trHeight w:val="476"/>
          <w:jc w:val="center"/>
        </w:trPr>
        <w:tc>
          <w:tcPr>
            <w:tcW w:w="2369" w:type="dxa"/>
          </w:tcPr>
          <w:p w:rsidR="00BB21AE" w:rsidRPr="003168C1" w:rsidRDefault="00BB21AE" w:rsidP="008E4ADB">
            <w:pPr>
              <w:widowControl w:val="0"/>
            </w:pPr>
            <w:r w:rsidRPr="003168C1">
              <w:t xml:space="preserve">Объемы и источники финансирования </w:t>
            </w:r>
          </w:p>
          <w:p w:rsidR="00BB21AE" w:rsidRPr="003168C1" w:rsidRDefault="00BB21AE" w:rsidP="008E4ADB">
            <w:pPr>
              <w:widowControl w:val="0"/>
            </w:pPr>
            <w:r w:rsidRPr="003168C1">
              <w:t xml:space="preserve">(в текущих ценах </w:t>
            </w:r>
          </w:p>
          <w:p w:rsidR="00BB21AE" w:rsidRPr="003168C1" w:rsidRDefault="00BB21AE" w:rsidP="008E4ADB">
            <w:pPr>
              <w:widowControl w:val="0"/>
            </w:pPr>
            <w:r w:rsidRPr="003168C1">
              <w:t>каждого года)</w:t>
            </w:r>
          </w:p>
        </w:tc>
        <w:tc>
          <w:tcPr>
            <w:tcW w:w="7686" w:type="dxa"/>
            <w:vAlign w:val="center"/>
          </w:tcPr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за счет средств местного, краевого и федерального бюджетов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78138,41</w:t>
            </w: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31184,29</w:t>
            </w: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по годам: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2013 год – 0,00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2014 год – 1988,05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2015 год – 2771,51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2016 год – 2585,16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2017 год – 618,81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2018 год – 2277,92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2019 год – 2692,42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2020 год – 1560,62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2021 год – 2307,08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2254,97</w:t>
            </w: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Pr="00C601D8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601D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2018,61</w:t>
            </w: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2736,27</w:t>
            </w: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2736,27</w:t>
            </w: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2027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2736,27</w:t>
            </w: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краевого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30244,71</w:t>
            </w: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по годам: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2013 год – 0,00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2014 год – 2537,63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2015 год – 4161,59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2016 год – 3476,53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2017 год – 2118,20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2018 год – 2377,13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2019 год – 1906,86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2020 год – 1600,45 тыс.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2021 год – 1751,34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1607,04</w:t>
            </w: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Pr="00D30E23">
              <w:rPr>
                <w:rFonts w:ascii="Times New Roman" w:hAnsi="Times New Roman" w:cs="Times New Roman"/>
                <w:sz w:val="24"/>
                <w:szCs w:val="24"/>
              </w:rPr>
              <w:t>1584, 98тыс.рублей</w:t>
            </w: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0E23">
              <w:rPr>
                <w:rFonts w:ascii="Times New Roman" w:hAnsi="Times New Roman" w:cs="Times New Roman"/>
                <w:sz w:val="24"/>
                <w:szCs w:val="24"/>
              </w:rPr>
              <w:t>2736, 21тыс.рублей</w:t>
            </w: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1462,25</w:t>
            </w: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1462,25</w:t>
            </w: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1462,25</w:t>
            </w: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 16709,41 тыс. рублей, из них по годам: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2013 год - 0,00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2014 год – 1109,41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2015 год - 1200,00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2016 год - 1200,00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2017 год - 1200,00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2018 год - 1200,00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2019 год - 1200,00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2020 год - 1200,00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2021 год – 1200,00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2022 год – 1200,00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2023 год - 1200,00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2024 год - 1200,00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2025 год - 1200,00 тыс. рублей;</w:t>
            </w:r>
          </w:p>
          <w:p w:rsidR="00BB21AE" w:rsidRPr="003168C1" w:rsidRDefault="00BB21AE" w:rsidP="008E4ADB">
            <w:pPr>
              <w:pStyle w:val="ConsPlusNormal"/>
              <w:ind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8C1">
              <w:rPr>
                <w:rFonts w:ascii="Times New Roman" w:hAnsi="Times New Roman" w:cs="Times New Roman"/>
                <w:sz w:val="24"/>
                <w:szCs w:val="24"/>
              </w:rPr>
              <w:t>2026 год - 1200,00 тыс. рублей;</w:t>
            </w:r>
          </w:p>
          <w:p w:rsidR="00BB21AE" w:rsidRPr="003168C1" w:rsidRDefault="00BB21AE" w:rsidP="008E4ADB">
            <w:pPr>
              <w:widowControl w:val="0"/>
              <w:ind w:firstLine="1"/>
            </w:pPr>
            <w:r>
              <w:t>2027 год - 1200,00 тыс. рублей.</w:t>
            </w:r>
          </w:p>
        </w:tc>
      </w:tr>
      <w:tr w:rsidR="00BB21AE" w:rsidRPr="007A7DD9" w:rsidTr="00F26885">
        <w:trPr>
          <w:trHeight w:val="558"/>
          <w:jc w:val="center"/>
        </w:trPr>
        <w:tc>
          <w:tcPr>
            <w:tcW w:w="2369" w:type="dxa"/>
          </w:tcPr>
          <w:p w:rsidR="00BB21AE" w:rsidRPr="003168C1" w:rsidRDefault="00BB21AE" w:rsidP="008E4ADB">
            <w:pPr>
              <w:widowControl w:val="0"/>
            </w:pPr>
            <w:r w:rsidRPr="003168C1">
              <w:t>Целевые</w:t>
            </w:r>
          </w:p>
          <w:p w:rsidR="00BB21AE" w:rsidRPr="003168C1" w:rsidRDefault="00BB21AE" w:rsidP="008E4ADB">
            <w:pPr>
              <w:widowControl w:val="0"/>
            </w:pPr>
            <w:r w:rsidRPr="003168C1">
              <w:t>индикаторы</w:t>
            </w:r>
          </w:p>
        </w:tc>
        <w:tc>
          <w:tcPr>
            <w:tcW w:w="7686" w:type="dxa"/>
          </w:tcPr>
          <w:p w:rsidR="00BB21AE" w:rsidRPr="003168C1" w:rsidRDefault="00BB21AE" w:rsidP="008E4ADB">
            <w:pPr>
              <w:widowControl w:val="0"/>
            </w:pPr>
            <w:r w:rsidRPr="003168C1">
              <w:t>Ко</w:t>
            </w:r>
            <w:bookmarkStart w:id="0" w:name="_GoBack"/>
            <w:bookmarkEnd w:id="0"/>
            <w:r w:rsidRPr="003168C1">
              <w:t>личество молодых семей, улучшивших жилищные условия</w:t>
            </w:r>
          </w:p>
        </w:tc>
      </w:tr>
      <w:tr w:rsidR="00BB21AE" w:rsidRPr="007A7DD9" w:rsidTr="008E4ADB">
        <w:trPr>
          <w:trHeight w:val="476"/>
          <w:jc w:val="center"/>
        </w:trPr>
        <w:tc>
          <w:tcPr>
            <w:tcW w:w="2369" w:type="dxa"/>
          </w:tcPr>
          <w:p w:rsidR="00BB21AE" w:rsidRPr="003168C1" w:rsidRDefault="00BB21AE" w:rsidP="008E4ADB">
            <w:pPr>
              <w:widowControl w:val="0"/>
            </w:pPr>
            <w:r w:rsidRPr="003168C1">
              <w:lastRenderedPageBreak/>
              <w:t xml:space="preserve">Ожидаемые конечные результаты </w:t>
            </w:r>
          </w:p>
          <w:p w:rsidR="00BB21AE" w:rsidRPr="003168C1" w:rsidRDefault="00BB21AE" w:rsidP="008E4ADB">
            <w:pPr>
              <w:widowControl w:val="0"/>
            </w:pPr>
            <w:r w:rsidRPr="003168C1">
              <w:t xml:space="preserve">реализации </w:t>
            </w:r>
          </w:p>
          <w:p w:rsidR="00BB21AE" w:rsidRPr="003168C1" w:rsidRDefault="00BB21AE" w:rsidP="008E4ADB">
            <w:pPr>
              <w:widowControl w:val="0"/>
            </w:pPr>
            <w:r w:rsidRPr="003168C1">
              <w:t xml:space="preserve">Программы </w:t>
            </w:r>
          </w:p>
          <w:p w:rsidR="00BB21AE" w:rsidRPr="003168C1" w:rsidRDefault="00BB21AE" w:rsidP="008E4ADB">
            <w:pPr>
              <w:widowControl w:val="0"/>
            </w:pPr>
            <w:r w:rsidRPr="003168C1">
              <w:t xml:space="preserve">и показатели </w:t>
            </w:r>
          </w:p>
          <w:p w:rsidR="00BB21AE" w:rsidRPr="003168C1" w:rsidRDefault="00BB21AE" w:rsidP="008E4ADB">
            <w:pPr>
              <w:widowControl w:val="0"/>
            </w:pPr>
            <w:r w:rsidRPr="003168C1">
              <w:t xml:space="preserve">социально-экономической </w:t>
            </w:r>
          </w:p>
          <w:p w:rsidR="00BB21AE" w:rsidRPr="003168C1" w:rsidRDefault="00BB21AE" w:rsidP="008E4ADB">
            <w:pPr>
              <w:widowControl w:val="0"/>
            </w:pPr>
            <w:r w:rsidRPr="003168C1">
              <w:t>эффективности</w:t>
            </w:r>
          </w:p>
        </w:tc>
        <w:tc>
          <w:tcPr>
            <w:tcW w:w="7686" w:type="dxa"/>
          </w:tcPr>
          <w:p w:rsidR="00BB21AE" w:rsidRPr="003168C1" w:rsidRDefault="00BB21AE" w:rsidP="00BB21AE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426"/>
              </w:tabs>
              <w:ind w:left="0" w:firstLine="0"/>
              <w:jc w:val="both"/>
            </w:pPr>
            <w:r w:rsidRPr="003168C1">
              <w:t>создание условий для повышения уровня обеспеченности жильем молодых семей, проживающих на территории Тернейского муниципального округа;</w:t>
            </w:r>
          </w:p>
          <w:p w:rsidR="00BB21AE" w:rsidRPr="003168C1" w:rsidRDefault="00BB21AE" w:rsidP="00BB21AE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426"/>
              </w:tabs>
              <w:ind w:left="0" w:firstLine="0"/>
              <w:jc w:val="both"/>
            </w:pPr>
            <w:r w:rsidRPr="003168C1">
              <w:t>развитие и закрепление положительных демографических тенденций в Тернейском муниципальном округа;</w:t>
            </w:r>
          </w:p>
          <w:p w:rsidR="00BB21AE" w:rsidRPr="003168C1" w:rsidRDefault="00BB21AE" w:rsidP="00BB21AE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426"/>
              </w:tabs>
              <w:ind w:left="0" w:firstLine="0"/>
              <w:jc w:val="both"/>
            </w:pPr>
            <w:r w:rsidRPr="003168C1">
              <w:t>привлечение в жилищную сферу дополнительных финансовых средств банков и других организаций, предоставляющих кредиты (займы), а также собственных средств молодых семей;</w:t>
            </w:r>
          </w:p>
          <w:p w:rsidR="00BB21AE" w:rsidRPr="003168C1" w:rsidRDefault="00BB21AE" w:rsidP="00BB21AE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426"/>
              </w:tabs>
              <w:ind w:left="0" w:firstLine="0"/>
              <w:jc w:val="both"/>
            </w:pPr>
            <w:r w:rsidRPr="003168C1">
              <w:t>решение задач кадровой политики в Тернейском муниципальном округе за счет закрепления молодых квалифицированных специалистов;</w:t>
            </w:r>
          </w:p>
          <w:p w:rsidR="00BB21AE" w:rsidRPr="003168C1" w:rsidRDefault="00BB21AE" w:rsidP="00BB21AE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426"/>
              </w:tabs>
              <w:ind w:left="0" w:firstLine="0"/>
              <w:jc w:val="both"/>
            </w:pPr>
            <w:r w:rsidRPr="003168C1">
              <w:t>укрепление семейных отношений и снижение социальной напряженности;</w:t>
            </w:r>
          </w:p>
          <w:p w:rsidR="00BB21AE" w:rsidRPr="003168C1" w:rsidRDefault="00BB21AE" w:rsidP="00BB21AE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426"/>
              </w:tabs>
              <w:ind w:left="0" w:firstLine="0"/>
              <w:jc w:val="both"/>
            </w:pPr>
            <w:r w:rsidRPr="003168C1">
              <w:t>улучшение жилищных условий (в том числе с использованием ипотечных жилищных кредитов и займов) не менее 48 молодых семей Тернейского муниципального округа;</w:t>
            </w:r>
          </w:p>
          <w:p w:rsidR="00BB21AE" w:rsidRPr="003168C1" w:rsidRDefault="00BB21AE" w:rsidP="00BB21AE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426"/>
              </w:tabs>
              <w:ind w:left="0" w:firstLine="0"/>
              <w:jc w:val="both"/>
            </w:pPr>
            <w:r w:rsidRPr="003168C1">
              <w:t xml:space="preserve">показатель доли молодых семей, улучшивших жилищные условия. </w:t>
            </w:r>
          </w:p>
          <w:p w:rsidR="00BB21AE" w:rsidRPr="003168C1" w:rsidRDefault="00BB21AE" w:rsidP="008E4ADB">
            <w:pPr>
              <w:widowControl w:val="0"/>
              <w:jc w:val="both"/>
            </w:pPr>
          </w:p>
        </w:tc>
      </w:tr>
      <w:tr w:rsidR="00BB21AE" w:rsidRPr="007A7DD9" w:rsidTr="008E4ADB">
        <w:trPr>
          <w:trHeight w:val="476"/>
          <w:jc w:val="center"/>
        </w:trPr>
        <w:tc>
          <w:tcPr>
            <w:tcW w:w="2369" w:type="dxa"/>
          </w:tcPr>
          <w:p w:rsidR="00BB21AE" w:rsidRPr="003168C1" w:rsidRDefault="00BB21AE" w:rsidP="008E4ADB">
            <w:pPr>
              <w:widowControl w:val="0"/>
            </w:pPr>
            <w:r w:rsidRPr="003168C1">
              <w:t>Система организации контроля за реализацией Программы</w:t>
            </w:r>
          </w:p>
        </w:tc>
        <w:tc>
          <w:tcPr>
            <w:tcW w:w="7686" w:type="dxa"/>
          </w:tcPr>
          <w:p w:rsidR="00BB21AE" w:rsidRPr="003168C1" w:rsidRDefault="00BB21AE" w:rsidP="008E4ADB">
            <w:pPr>
              <w:widowControl w:val="0"/>
              <w:jc w:val="both"/>
            </w:pPr>
            <w:r w:rsidRPr="003168C1">
              <w:t>Администрация Тернейского муниципального округа в лице первого заместителя главы администрации муниципального округа</w:t>
            </w:r>
          </w:p>
          <w:p w:rsidR="00BB21AE" w:rsidRPr="003168C1" w:rsidRDefault="00BB21AE" w:rsidP="008E4ADB">
            <w:pPr>
              <w:widowControl w:val="0"/>
              <w:jc w:val="both"/>
            </w:pPr>
          </w:p>
        </w:tc>
      </w:tr>
    </w:tbl>
    <w:p w:rsidR="00BB21AE" w:rsidRPr="00BB21AE" w:rsidRDefault="00BB21AE" w:rsidP="00BB21AE">
      <w:pPr>
        <w:widowControl w:val="0"/>
        <w:jc w:val="center"/>
        <w:rPr>
          <w:b/>
        </w:rPr>
      </w:pPr>
    </w:p>
    <w:p w:rsidR="00016F33" w:rsidRDefault="00016F33"/>
    <w:sectPr w:rsidR="00016F33" w:rsidSect="00F26885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66903"/>
    <w:multiLevelType w:val="hybridMultilevel"/>
    <w:tmpl w:val="F0745B60"/>
    <w:lvl w:ilvl="0" w:tplc="A43615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90633A"/>
    <w:multiLevelType w:val="hybridMultilevel"/>
    <w:tmpl w:val="E19A578E"/>
    <w:lvl w:ilvl="0" w:tplc="A43615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291FCA"/>
    <w:multiLevelType w:val="hybridMultilevel"/>
    <w:tmpl w:val="9BDE2158"/>
    <w:lvl w:ilvl="0" w:tplc="A43615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FE1"/>
    <w:rsid w:val="00016F33"/>
    <w:rsid w:val="00114A18"/>
    <w:rsid w:val="00341FE1"/>
    <w:rsid w:val="00BB21AE"/>
    <w:rsid w:val="00DB322A"/>
    <w:rsid w:val="00F2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ACB624-3962-4FE1-874F-0DF6B12E9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21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F26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688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688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6D0F48552B8CF1683121E3C7337634055B3EAEF26CC8495F26F77090DN9f2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2024-03-19T23:33:00Z</cp:lastPrinted>
  <dcterms:created xsi:type="dcterms:W3CDTF">2024-03-07T03:24:00Z</dcterms:created>
  <dcterms:modified xsi:type="dcterms:W3CDTF">2024-03-19T23:33:00Z</dcterms:modified>
</cp:coreProperties>
</file>